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589B97" w14:textId="77777777" w:rsidR="002D5DD0" w:rsidRPr="00815232" w:rsidRDefault="002D5DD0" w:rsidP="003E2D96">
      <w:pPr>
        <w:pStyle w:val="Title"/>
        <w:spacing w:before="240"/>
      </w:pPr>
      <w:r>
        <w:t>Title [</w:t>
      </w:r>
      <w:r w:rsidR="00C03F79">
        <w:t>‘</w:t>
      </w:r>
      <w:r w:rsidRPr="00815232">
        <w:t>Title</w:t>
      </w:r>
      <w:r w:rsidR="00C03F79">
        <w:t>’</w:t>
      </w:r>
      <w:r>
        <w:t>, Times New Roman, 16pt, Bold, Centred, Capitalised]</w:t>
      </w:r>
    </w:p>
    <w:p w14:paraId="3A55CCEB" w14:textId="77777777" w:rsidR="002D5DD0" w:rsidRDefault="00456F98">
      <w:pPr>
        <w:pStyle w:val="Authors"/>
      </w:pPr>
      <w:r>
        <w:t xml:space="preserve">A. </w:t>
      </w:r>
      <w:r w:rsidR="002D5DD0">
        <w:t>Author</w:t>
      </w:r>
      <w:r w:rsidR="002D5DD0">
        <w:rPr>
          <w:vertAlign w:val="superscript"/>
        </w:rPr>
        <w:t>1</w:t>
      </w:r>
      <w:r w:rsidR="002D5DD0">
        <w:t xml:space="preserve">, </w:t>
      </w:r>
      <w:r>
        <w:t xml:space="preserve">B. </w:t>
      </w:r>
      <w:r w:rsidR="002D5DD0">
        <w:t>Author</w:t>
      </w:r>
      <w:r w:rsidR="002D5DD0">
        <w:rPr>
          <w:vertAlign w:val="superscript"/>
        </w:rPr>
        <w:t>2</w:t>
      </w:r>
      <w:r w:rsidR="002D5DD0">
        <w:t xml:space="preserve">, </w:t>
      </w:r>
      <w:r>
        <w:t xml:space="preserve">C. </w:t>
      </w:r>
      <w:r w:rsidR="002D5DD0">
        <w:t>Author</w:t>
      </w:r>
      <w:r w:rsidR="002D5DD0">
        <w:rPr>
          <w:vertAlign w:val="superscript"/>
        </w:rPr>
        <w:t>3</w:t>
      </w:r>
      <w:r w:rsidR="002D5DD0">
        <w:t xml:space="preserve"> [</w:t>
      </w:r>
      <w:r w:rsidR="00C03F79">
        <w:t>‘</w:t>
      </w:r>
      <w:r w:rsidR="002D5DD0">
        <w:t>Authors</w:t>
      </w:r>
      <w:r w:rsidR="00C03F79">
        <w:t>’</w:t>
      </w:r>
      <w:r w:rsidR="002D5DD0">
        <w:t>, Times New Roman, 1</w:t>
      </w:r>
      <w:r w:rsidR="00D313A1">
        <w:t>0</w:t>
      </w:r>
      <w:r w:rsidR="002D5DD0">
        <w:t>pt, Bold, comma separated, centred]</w:t>
      </w:r>
    </w:p>
    <w:p w14:paraId="08A31DC7" w14:textId="77777777" w:rsidR="002D5DD0" w:rsidRDefault="002D5DD0">
      <w:pPr>
        <w:pStyle w:val="Affiliations"/>
      </w:pPr>
      <w:r>
        <w:rPr>
          <w:vertAlign w:val="superscript"/>
        </w:rPr>
        <w:t>1,2</w:t>
      </w:r>
      <w:r>
        <w:t xml:space="preserve"> Institute 1 Address [</w:t>
      </w:r>
      <w:r w:rsidR="00C03F79">
        <w:t>‘Affiliations’</w:t>
      </w:r>
      <w:r>
        <w:t>, Times New Roman, 1</w:t>
      </w:r>
      <w:r w:rsidR="00D313A1">
        <w:t>0</w:t>
      </w:r>
      <w:r>
        <w:t>pt, centred]</w:t>
      </w:r>
    </w:p>
    <w:p w14:paraId="74BA1CED" w14:textId="77777777" w:rsidR="002D5DD0" w:rsidRDefault="002D5DD0">
      <w:pPr>
        <w:pStyle w:val="Affiliations"/>
      </w:pPr>
      <w:r>
        <w:rPr>
          <w:vertAlign w:val="superscript"/>
        </w:rPr>
        <w:t>3</w:t>
      </w:r>
      <w:r>
        <w:t xml:space="preserve"> Institute 2 Address </w:t>
      </w:r>
      <w:r w:rsidR="00C03F79">
        <w:t>[‘Affiliations’, Times New Roman, 1</w:t>
      </w:r>
      <w:r w:rsidR="00D313A1">
        <w:t>0</w:t>
      </w:r>
      <w:r w:rsidR="00C03F79">
        <w:t>pt, centred]</w:t>
      </w:r>
    </w:p>
    <w:p w14:paraId="22F4B4CC" w14:textId="77777777" w:rsidR="00965300" w:rsidRDefault="002D5DD0" w:rsidP="008D5797">
      <w:pPr>
        <w:pStyle w:val="Email"/>
      </w:pPr>
      <w:r>
        <w:rPr>
          <w:vertAlign w:val="superscript"/>
        </w:rPr>
        <w:t>1</w:t>
      </w:r>
      <w:r>
        <w:t>corresponding.author@email.address.ac.uk [</w:t>
      </w:r>
      <w:r w:rsidR="00C03F79">
        <w:t>‘</w:t>
      </w:r>
      <w:r>
        <w:t>Email</w:t>
      </w:r>
      <w:r w:rsidR="00C03F79">
        <w:t>’</w:t>
      </w:r>
      <w:r>
        <w:t>, Times New</w:t>
      </w:r>
      <w:r w:rsidR="00815232">
        <w:t xml:space="preserve"> Roman, 1</w:t>
      </w:r>
      <w:r w:rsidR="00D313A1">
        <w:t>0</w:t>
      </w:r>
      <w:r w:rsidR="00815232">
        <w:t>pt, Italics, centred]</w:t>
      </w:r>
    </w:p>
    <w:p w14:paraId="20C8C3F6" w14:textId="77777777" w:rsidR="008D5797" w:rsidRPr="00815232" w:rsidRDefault="008D5797" w:rsidP="008D5797">
      <w:pPr>
        <w:pStyle w:val="Keywords"/>
        <w:jc w:val="center"/>
      </w:pPr>
      <w:r>
        <w:rPr>
          <w:b/>
          <w:bCs/>
        </w:rPr>
        <w:t>Keywords:</w:t>
      </w:r>
      <w:r>
        <w:t xml:space="preserve"> Maximum five keywords, separated by semi-colons [‘Keywords’, Times New Roman, 10pt, centred]</w:t>
      </w:r>
    </w:p>
    <w:p w14:paraId="511283A4" w14:textId="77777777" w:rsidR="002D5DD0" w:rsidRDefault="00D313A1" w:rsidP="00D313A1">
      <w:pPr>
        <w:pStyle w:val="Heading"/>
      </w:pPr>
      <w:r>
        <w:t xml:space="preserve">Extended </w:t>
      </w:r>
      <w:r w:rsidR="003F39B2" w:rsidRPr="001144CD">
        <w:t>Abstract</w:t>
      </w:r>
    </w:p>
    <w:p w14:paraId="4E510B29" w14:textId="3EF1D5C2" w:rsidR="00D313A1" w:rsidRDefault="00D313A1" w:rsidP="00D313A1">
      <w:pPr>
        <w:pStyle w:val="SubHeading"/>
      </w:pPr>
      <w:r>
        <w:t>Introduction [‘</w:t>
      </w:r>
      <w:proofErr w:type="spellStart"/>
      <w:r>
        <w:t>SubHeading</w:t>
      </w:r>
      <w:proofErr w:type="spellEnd"/>
      <w:r>
        <w:t xml:space="preserve">’, Times New </w:t>
      </w:r>
      <w:r w:rsidRPr="00C2471B">
        <w:t>Roman</w:t>
      </w:r>
      <w:r>
        <w:t>, 10pt, Capitalised, left justified]</w:t>
      </w:r>
    </w:p>
    <w:p w14:paraId="162602E8" w14:textId="77777777" w:rsidR="00D313A1" w:rsidRDefault="00D313A1" w:rsidP="003F39B2">
      <w:pPr>
        <w:pStyle w:val="ExtendedAbstract"/>
      </w:pPr>
      <w:r>
        <w:t>[‘</w:t>
      </w:r>
      <w:proofErr w:type="spellStart"/>
      <w:r>
        <w:t>ExtendedAbstract</w:t>
      </w:r>
      <w:proofErr w:type="spellEnd"/>
      <w:r>
        <w:t>’, Times New Roman, 10pt, Justified, italicised, line spacing single]</w:t>
      </w:r>
    </w:p>
    <w:p w14:paraId="0A5BC340" w14:textId="77777777" w:rsidR="00BF3D53" w:rsidRPr="00A57A14" w:rsidRDefault="00C03F79" w:rsidP="00BF3D53">
      <w:pPr>
        <w:pStyle w:val="ExtendedAbstract"/>
      </w:pPr>
      <w:r w:rsidRPr="00C03F79">
        <w:t xml:space="preserve">Insert the text of the </w:t>
      </w:r>
      <w:r>
        <w:t xml:space="preserve">extended </w:t>
      </w:r>
      <w:r w:rsidRPr="00C03F79">
        <w:t xml:space="preserve">abstract here. </w:t>
      </w:r>
      <w:r w:rsidR="003E2D96">
        <w:t>the extended abstract</w:t>
      </w:r>
      <w:r w:rsidRPr="00C03F79">
        <w:t xml:space="preserve"> should </w:t>
      </w:r>
      <w:r w:rsidR="001144CD">
        <w:t>not exceed</w:t>
      </w:r>
      <w:r w:rsidRPr="00C03F79">
        <w:t xml:space="preserve"> </w:t>
      </w:r>
      <w:r w:rsidR="00BF3D53">
        <w:t>two</w:t>
      </w:r>
      <w:r w:rsidRPr="00C03F79">
        <w:t xml:space="preserve"> pages</w:t>
      </w:r>
      <w:r w:rsidR="001144CD">
        <w:t>,</w:t>
      </w:r>
      <w:r w:rsidRPr="00C03F79">
        <w:t xml:space="preserve"> including figures, tables and references. </w:t>
      </w:r>
      <w:r w:rsidR="00BF3D53">
        <w:t>You will find a number of specified styles and formats as part of this template: for consistency across the submissions, please stick to these formats. If headings are used</w:t>
      </w:r>
      <w:r w:rsidR="00BF3D53" w:rsidRPr="001F15A4">
        <w:t xml:space="preserve"> </w:t>
      </w:r>
      <w:r w:rsidR="00BF3D53">
        <w:t>within the extended abstract, please only use one level (‘</w:t>
      </w:r>
      <w:proofErr w:type="spellStart"/>
      <w:r w:rsidR="00BF3D53">
        <w:t>SubHeading</w:t>
      </w:r>
      <w:proofErr w:type="spellEnd"/>
      <w:r w:rsidR="00BF3D53">
        <w:t>’ style).  All margins (top, bottom, left and right) should be 2cm.</w:t>
      </w:r>
    </w:p>
    <w:p w14:paraId="7D5E14C2" w14:textId="77777777" w:rsidR="00BF3D53" w:rsidRDefault="00BF3D53" w:rsidP="00BF3D53">
      <w:pPr>
        <w:pStyle w:val="ExtendedAbstract"/>
      </w:pPr>
      <w:r w:rsidRPr="00C03F79">
        <w:t xml:space="preserve">When submitting your </w:t>
      </w:r>
      <w:r>
        <w:t xml:space="preserve">extended </w:t>
      </w:r>
      <w:r w:rsidRPr="00C03F79">
        <w:t xml:space="preserve">abstract, </w:t>
      </w:r>
      <w:r>
        <w:t>please rename the template file with the surname of the first author, followed by the institution's short form (and a number if submitting multiple extended abstracts) e.g. 'Young-UCL', 'Smith-UoE-01', 'Smith-UoE-02'.</w:t>
      </w:r>
    </w:p>
    <w:p w14:paraId="1D4F649E" w14:textId="77777777" w:rsidR="00BF3D53" w:rsidRDefault="00BF3D53" w:rsidP="00BF3D53">
      <w:pPr>
        <w:pStyle w:val="ExtendedAbstract"/>
      </w:pPr>
    </w:p>
    <w:p w14:paraId="09D3CAE8" w14:textId="77777777" w:rsidR="00BF3D53" w:rsidRDefault="00BF3D53" w:rsidP="00BF3D53">
      <w:pPr>
        <w:pStyle w:val="ExtendedAbstract"/>
      </w:pPr>
      <w:r>
        <w:t xml:space="preserve">​ Please submit all abstracts following the instructions at </w:t>
      </w:r>
      <w:hyperlink r:id="rId7" w:history="1">
        <w:r w:rsidRPr="00600A19">
          <w:rPr>
            <w:rStyle w:val="Hyperlink"/>
          </w:rPr>
          <w:t>https://www.aqua360.net/abstract-submission</w:t>
        </w:r>
      </w:hyperlink>
      <w:r>
        <w:t xml:space="preserve">. </w:t>
      </w:r>
    </w:p>
    <w:p w14:paraId="48ABAE43" w14:textId="1D1BE107" w:rsidR="001F7341" w:rsidRDefault="001F7341" w:rsidP="003E2D96">
      <w:pPr>
        <w:pStyle w:val="ExtendedAbstract"/>
      </w:pPr>
    </w:p>
    <w:p w14:paraId="7D4925B7" w14:textId="77777777" w:rsidR="00563F2A" w:rsidRPr="001F7341" w:rsidRDefault="00563F2A" w:rsidP="003F39B2">
      <w:pPr>
        <w:pStyle w:val="ExtendedAbstract"/>
      </w:pPr>
    </w:p>
    <w:p w14:paraId="7A38D477" w14:textId="77777777" w:rsidR="001F7341" w:rsidRDefault="00D313A1" w:rsidP="001F7341">
      <w:pPr>
        <w:pStyle w:val="SubHeading"/>
      </w:pPr>
      <w:r>
        <w:t>Methods and Materials</w:t>
      </w:r>
      <w:r w:rsidR="001F7341">
        <w:t xml:space="preserve"> [‘</w:t>
      </w:r>
      <w:proofErr w:type="spellStart"/>
      <w:r w:rsidR="001F7341">
        <w:t>SubHeading</w:t>
      </w:r>
      <w:proofErr w:type="spellEnd"/>
      <w:r w:rsidR="001F7341">
        <w:t xml:space="preserve">’, Times New </w:t>
      </w:r>
      <w:r w:rsidR="001F7341" w:rsidRPr="00C2471B">
        <w:t>Roman</w:t>
      </w:r>
      <w:r w:rsidR="001F7341">
        <w:t>, 1</w:t>
      </w:r>
      <w:r>
        <w:t>0</w:t>
      </w:r>
      <w:r w:rsidR="001F7341">
        <w:t>pt, Capitalised, left justified]</w:t>
      </w:r>
    </w:p>
    <w:p w14:paraId="713BC427" w14:textId="77777777" w:rsidR="001F7341" w:rsidRDefault="001F15A4" w:rsidP="001F15A4">
      <w:pPr>
        <w:pStyle w:val="ExtendedAbstract"/>
      </w:pPr>
      <w:r w:rsidRPr="001F15A4">
        <w:t>Figures</w:t>
      </w:r>
      <w:r>
        <w:t xml:space="preserve"> and tables should be included directly in the document and be described in the body of the text.</w:t>
      </w:r>
      <w:r w:rsidR="004E5483" w:rsidRPr="004E5483">
        <w:t xml:space="preserve"> </w:t>
      </w:r>
      <w:r w:rsidR="004E5483">
        <w:t>Table 1 and Figure 1 are examples of Tables and Figures.</w:t>
      </w:r>
      <w:r w:rsidR="00BA42BD">
        <w:t xml:space="preserve"> </w:t>
      </w:r>
    </w:p>
    <w:p w14:paraId="1CE0EDCD" w14:textId="77777777" w:rsidR="004E5483" w:rsidRPr="003526C3" w:rsidRDefault="004E5483" w:rsidP="003526C3">
      <w:pPr>
        <w:pStyle w:val="Caption"/>
        <w:keepNext/>
        <w:keepLines/>
        <w:spacing w:before="60" w:after="60"/>
        <w:rPr>
          <w:sz w:val="18"/>
          <w:szCs w:val="18"/>
        </w:rPr>
      </w:pPr>
      <w:r w:rsidRPr="009B6A5B">
        <w:rPr>
          <w:sz w:val="18"/>
          <w:szCs w:val="18"/>
        </w:rPr>
        <w:t xml:space="preserve">Table 1. Some Letters and Numbers [‘Caption’, Times New Roman, </w:t>
      </w:r>
      <w:r w:rsidR="009B6A5B" w:rsidRPr="009B6A5B">
        <w:rPr>
          <w:sz w:val="18"/>
          <w:szCs w:val="18"/>
        </w:rPr>
        <w:t>9</w:t>
      </w:r>
      <w:r w:rsidR="003526C3">
        <w:rPr>
          <w:sz w:val="18"/>
          <w:szCs w:val="18"/>
        </w:rPr>
        <w:t>pt, Italic, centred]</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211"/>
        <w:gridCol w:w="2284"/>
        <w:gridCol w:w="2284"/>
      </w:tblGrid>
      <w:tr w:rsidR="000B5176" w:rsidRPr="00D62DCF" w14:paraId="566472B9" w14:textId="77777777" w:rsidTr="002E4854">
        <w:trPr>
          <w:jc w:val="center"/>
        </w:trPr>
        <w:tc>
          <w:tcPr>
            <w:tcW w:w="2211" w:type="dxa"/>
            <w:tcBorders>
              <w:top w:val="single" w:sz="1" w:space="0" w:color="000000"/>
              <w:left w:val="single" w:sz="1" w:space="0" w:color="000000"/>
              <w:bottom w:val="single" w:sz="1" w:space="0" w:color="000000"/>
            </w:tcBorders>
            <w:shd w:val="clear" w:color="auto" w:fill="auto"/>
          </w:tcPr>
          <w:p w14:paraId="7C0F9F05" w14:textId="77777777" w:rsidR="000B5176" w:rsidRPr="009B6A5B" w:rsidRDefault="00D6709D" w:rsidP="009B6A5B">
            <w:pPr>
              <w:keepNext/>
              <w:keepLines/>
              <w:spacing w:before="20" w:after="20"/>
              <w:jc w:val="center"/>
              <w:rPr>
                <w:sz w:val="18"/>
                <w:szCs w:val="18"/>
              </w:rPr>
            </w:pPr>
            <w:r w:rsidRPr="009B6A5B">
              <w:rPr>
                <w:sz w:val="18"/>
                <w:szCs w:val="18"/>
              </w:rPr>
              <w:t>Water quality parameters</w:t>
            </w:r>
          </w:p>
        </w:tc>
        <w:tc>
          <w:tcPr>
            <w:tcW w:w="2284" w:type="dxa"/>
            <w:tcBorders>
              <w:top w:val="single" w:sz="1" w:space="0" w:color="000000"/>
              <w:left w:val="single" w:sz="1" w:space="0" w:color="000000"/>
              <w:bottom w:val="single" w:sz="1" w:space="0" w:color="000000"/>
            </w:tcBorders>
          </w:tcPr>
          <w:p w14:paraId="7E5482F1" w14:textId="77777777" w:rsidR="000B5176" w:rsidRPr="009B6A5B" w:rsidRDefault="00EA7843" w:rsidP="009B6A5B">
            <w:pPr>
              <w:keepNext/>
              <w:keepLines/>
              <w:spacing w:before="20" w:after="20"/>
              <w:jc w:val="center"/>
              <w:rPr>
                <w:sz w:val="18"/>
                <w:szCs w:val="18"/>
              </w:rPr>
            </w:pPr>
            <w:r w:rsidRPr="009B6A5B">
              <w:rPr>
                <w:sz w:val="18"/>
                <w:szCs w:val="18"/>
              </w:rPr>
              <w:t>Units</w:t>
            </w:r>
          </w:p>
        </w:tc>
        <w:tc>
          <w:tcPr>
            <w:tcW w:w="2284" w:type="dxa"/>
            <w:tcBorders>
              <w:top w:val="single" w:sz="1" w:space="0" w:color="000000"/>
              <w:left w:val="single" w:sz="1" w:space="0" w:color="000000"/>
              <w:bottom w:val="single" w:sz="1" w:space="0" w:color="000000"/>
              <w:right w:val="single" w:sz="1" w:space="0" w:color="000000"/>
            </w:tcBorders>
            <w:shd w:val="clear" w:color="auto" w:fill="auto"/>
          </w:tcPr>
          <w:p w14:paraId="0B3048C5" w14:textId="77777777" w:rsidR="000B5176" w:rsidRPr="009B6A5B" w:rsidRDefault="00EA7843" w:rsidP="009B6A5B">
            <w:pPr>
              <w:keepNext/>
              <w:keepLines/>
              <w:spacing w:before="20" w:after="20"/>
              <w:jc w:val="center"/>
              <w:rPr>
                <w:sz w:val="18"/>
                <w:szCs w:val="18"/>
              </w:rPr>
            </w:pPr>
            <w:r w:rsidRPr="009B6A5B">
              <w:rPr>
                <w:sz w:val="18"/>
                <w:szCs w:val="18"/>
              </w:rPr>
              <w:t xml:space="preserve">Daily </w:t>
            </w:r>
            <w:r w:rsidR="00563F2A" w:rsidRPr="009B6A5B">
              <w:rPr>
                <w:sz w:val="18"/>
                <w:szCs w:val="18"/>
              </w:rPr>
              <w:t>average</w:t>
            </w:r>
          </w:p>
        </w:tc>
      </w:tr>
      <w:tr w:rsidR="000B5176" w:rsidRPr="00D62DCF" w14:paraId="567980C3" w14:textId="77777777" w:rsidTr="000B5176">
        <w:trPr>
          <w:jc w:val="center"/>
        </w:trPr>
        <w:tc>
          <w:tcPr>
            <w:tcW w:w="2211" w:type="dxa"/>
            <w:tcBorders>
              <w:left w:val="single" w:sz="1" w:space="0" w:color="000000"/>
            </w:tcBorders>
            <w:shd w:val="clear" w:color="auto" w:fill="auto"/>
          </w:tcPr>
          <w:p w14:paraId="66921625" w14:textId="77777777" w:rsidR="000B5176" w:rsidRPr="009B6A5B" w:rsidRDefault="00D6709D" w:rsidP="009B6A5B">
            <w:pPr>
              <w:keepLines/>
              <w:spacing w:before="20" w:after="20"/>
              <w:jc w:val="center"/>
              <w:rPr>
                <w:sz w:val="18"/>
                <w:szCs w:val="18"/>
              </w:rPr>
            </w:pPr>
            <w:proofErr w:type="spellStart"/>
            <w:r w:rsidRPr="009B6A5B">
              <w:rPr>
                <w:rFonts w:cs="Times New Roman"/>
                <w:sz w:val="18"/>
                <w:szCs w:val="18"/>
              </w:rPr>
              <w:t>COD</w:t>
            </w:r>
            <w:r w:rsidRPr="009B6A5B">
              <w:rPr>
                <w:rFonts w:cs="Times New Roman"/>
                <w:sz w:val="18"/>
                <w:szCs w:val="18"/>
                <w:vertAlign w:val="subscript"/>
              </w:rPr>
              <w:t>in</w:t>
            </w:r>
            <w:proofErr w:type="spellEnd"/>
          </w:p>
        </w:tc>
        <w:tc>
          <w:tcPr>
            <w:tcW w:w="2284" w:type="dxa"/>
            <w:tcBorders>
              <w:left w:val="single" w:sz="1" w:space="0" w:color="000000"/>
            </w:tcBorders>
          </w:tcPr>
          <w:p w14:paraId="0D687BB6" w14:textId="77777777" w:rsidR="000B5176" w:rsidRPr="009B6A5B" w:rsidRDefault="004C17EA" w:rsidP="009B6A5B">
            <w:pPr>
              <w:keepLines/>
              <w:spacing w:before="20" w:after="20"/>
              <w:jc w:val="center"/>
              <w:rPr>
                <w:sz w:val="18"/>
                <w:szCs w:val="18"/>
              </w:rPr>
            </w:pPr>
            <w:r w:rsidRPr="009B6A5B">
              <w:rPr>
                <w:sz w:val="18"/>
                <w:szCs w:val="18"/>
              </w:rPr>
              <w:t>mg/L</w:t>
            </w:r>
          </w:p>
        </w:tc>
        <w:tc>
          <w:tcPr>
            <w:tcW w:w="2284" w:type="dxa"/>
            <w:tcBorders>
              <w:left w:val="single" w:sz="1" w:space="0" w:color="000000"/>
              <w:right w:val="single" w:sz="1" w:space="0" w:color="000000"/>
            </w:tcBorders>
            <w:shd w:val="clear" w:color="auto" w:fill="auto"/>
          </w:tcPr>
          <w:p w14:paraId="7C5EA8AA" w14:textId="77777777" w:rsidR="000B5176" w:rsidRPr="009B6A5B" w:rsidRDefault="005F1C23" w:rsidP="009B6A5B">
            <w:pPr>
              <w:keepLines/>
              <w:spacing w:before="20" w:after="20"/>
              <w:jc w:val="center"/>
              <w:rPr>
                <w:sz w:val="18"/>
                <w:szCs w:val="18"/>
              </w:rPr>
            </w:pPr>
            <w:r w:rsidRPr="009B6A5B">
              <w:rPr>
                <w:sz w:val="18"/>
                <w:szCs w:val="18"/>
              </w:rPr>
              <w:t>225.1</w:t>
            </w:r>
          </w:p>
        </w:tc>
      </w:tr>
      <w:tr w:rsidR="000B5176" w:rsidRPr="00D62DCF" w14:paraId="7FD03CD4" w14:textId="77777777" w:rsidTr="00EA7843">
        <w:trPr>
          <w:jc w:val="center"/>
        </w:trPr>
        <w:tc>
          <w:tcPr>
            <w:tcW w:w="2211" w:type="dxa"/>
            <w:tcBorders>
              <w:left w:val="single" w:sz="1" w:space="0" w:color="000000"/>
            </w:tcBorders>
            <w:shd w:val="clear" w:color="auto" w:fill="auto"/>
          </w:tcPr>
          <w:p w14:paraId="0E4D8E30" w14:textId="77777777" w:rsidR="000B5176" w:rsidRPr="009B6A5B" w:rsidRDefault="00EA7843" w:rsidP="009B6A5B">
            <w:pPr>
              <w:keepLines/>
              <w:spacing w:before="20" w:after="20"/>
              <w:jc w:val="center"/>
              <w:rPr>
                <w:rFonts w:cs="Times New Roman"/>
                <w:sz w:val="18"/>
                <w:szCs w:val="18"/>
              </w:rPr>
            </w:pPr>
            <w:proofErr w:type="spellStart"/>
            <w:r w:rsidRPr="009B6A5B">
              <w:rPr>
                <w:rFonts w:cs="Times New Roman"/>
                <w:sz w:val="18"/>
                <w:szCs w:val="18"/>
              </w:rPr>
              <w:t>COD</w:t>
            </w:r>
            <w:r w:rsidRPr="009B6A5B">
              <w:rPr>
                <w:rFonts w:cs="Times New Roman"/>
                <w:sz w:val="18"/>
                <w:szCs w:val="18"/>
                <w:vertAlign w:val="subscript"/>
              </w:rPr>
              <w:t>out</w:t>
            </w:r>
            <w:proofErr w:type="spellEnd"/>
          </w:p>
        </w:tc>
        <w:tc>
          <w:tcPr>
            <w:tcW w:w="2284" w:type="dxa"/>
            <w:tcBorders>
              <w:left w:val="single" w:sz="1" w:space="0" w:color="000000"/>
            </w:tcBorders>
          </w:tcPr>
          <w:p w14:paraId="505476A4" w14:textId="77777777" w:rsidR="000B5176" w:rsidRPr="009B6A5B" w:rsidRDefault="004C17EA" w:rsidP="009B6A5B">
            <w:pPr>
              <w:keepLines/>
              <w:spacing w:before="20" w:after="20"/>
              <w:jc w:val="center"/>
              <w:rPr>
                <w:sz w:val="18"/>
                <w:szCs w:val="18"/>
              </w:rPr>
            </w:pPr>
            <w:r w:rsidRPr="009B6A5B">
              <w:rPr>
                <w:sz w:val="18"/>
                <w:szCs w:val="18"/>
              </w:rPr>
              <w:t>mg/L</w:t>
            </w:r>
          </w:p>
        </w:tc>
        <w:tc>
          <w:tcPr>
            <w:tcW w:w="2284" w:type="dxa"/>
            <w:tcBorders>
              <w:left w:val="single" w:sz="1" w:space="0" w:color="000000"/>
              <w:right w:val="single" w:sz="1" w:space="0" w:color="000000"/>
            </w:tcBorders>
            <w:shd w:val="clear" w:color="auto" w:fill="auto"/>
          </w:tcPr>
          <w:p w14:paraId="53585C0D" w14:textId="77777777" w:rsidR="000B5176" w:rsidRPr="009B6A5B" w:rsidRDefault="005F1C23" w:rsidP="009B6A5B">
            <w:pPr>
              <w:keepLines/>
              <w:spacing w:before="20" w:after="20"/>
              <w:jc w:val="center"/>
              <w:rPr>
                <w:sz w:val="18"/>
                <w:szCs w:val="18"/>
              </w:rPr>
            </w:pPr>
            <w:r w:rsidRPr="009B6A5B">
              <w:rPr>
                <w:sz w:val="18"/>
                <w:szCs w:val="18"/>
              </w:rPr>
              <w:t>40.2</w:t>
            </w:r>
          </w:p>
        </w:tc>
      </w:tr>
      <w:tr w:rsidR="00EA7843" w:rsidRPr="00D62DCF" w14:paraId="022DAA22" w14:textId="77777777" w:rsidTr="00EA7843">
        <w:trPr>
          <w:jc w:val="center"/>
        </w:trPr>
        <w:tc>
          <w:tcPr>
            <w:tcW w:w="2211" w:type="dxa"/>
            <w:tcBorders>
              <w:left w:val="single" w:sz="1" w:space="0" w:color="000000"/>
            </w:tcBorders>
            <w:shd w:val="clear" w:color="auto" w:fill="auto"/>
          </w:tcPr>
          <w:p w14:paraId="72BA969C" w14:textId="77777777" w:rsidR="00EA7843" w:rsidRPr="009B6A5B" w:rsidRDefault="00EA7843" w:rsidP="009B6A5B">
            <w:pPr>
              <w:keepLines/>
              <w:spacing w:before="20" w:after="20"/>
              <w:jc w:val="center"/>
              <w:rPr>
                <w:sz w:val="18"/>
                <w:szCs w:val="18"/>
              </w:rPr>
            </w:pPr>
            <w:proofErr w:type="spellStart"/>
            <w:r w:rsidRPr="009B6A5B">
              <w:rPr>
                <w:rFonts w:cs="Times New Roman"/>
                <w:sz w:val="18"/>
                <w:szCs w:val="18"/>
              </w:rPr>
              <w:t>BOD</w:t>
            </w:r>
            <w:r w:rsidRPr="009B6A5B">
              <w:rPr>
                <w:rFonts w:cs="Times New Roman"/>
                <w:sz w:val="18"/>
                <w:szCs w:val="18"/>
                <w:vertAlign w:val="subscript"/>
              </w:rPr>
              <w:t>in</w:t>
            </w:r>
            <w:proofErr w:type="spellEnd"/>
          </w:p>
        </w:tc>
        <w:tc>
          <w:tcPr>
            <w:tcW w:w="2284" w:type="dxa"/>
            <w:tcBorders>
              <w:left w:val="single" w:sz="1" w:space="0" w:color="000000"/>
            </w:tcBorders>
          </w:tcPr>
          <w:p w14:paraId="7B30D9C7" w14:textId="77777777" w:rsidR="00EA7843" w:rsidRPr="009B6A5B" w:rsidRDefault="004C17EA" w:rsidP="009B6A5B">
            <w:pPr>
              <w:keepLines/>
              <w:spacing w:before="20" w:after="20"/>
              <w:jc w:val="center"/>
              <w:rPr>
                <w:sz w:val="18"/>
                <w:szCs w:val="18"/>
              </w:rPr>
            </w:pPr>
            <w:r w:rsidRPr="009B6A5B">
              <w:rPr>
                <w:sz w:val="18"/>
                <w:szCs w:val="18"/>
              </w:rPr>
              <w:t>mg/L</w:t>
            </w:r>
          </w:p>
        </w:tc>
        <w:tc>
          <w:tcPr>
            <w:tcW w:w="2284" w:type="dxa"/>
            <w:tcBorders>
              <w:left w:val="single" w:sz="1" w:space="0" w:color="000000"/>
              <w:right w:val="single" w:sz="1" w:space="0" w:color="000000"/>
            </w:tcBorders>
            <w:shd w:val="clear" w:color="auto" w:fill="auto"/>
          </w:tcPr>
          <w:p w14:paraId="1C1F91EB" w14:textId="77777777" w:rsidR="00EA7843" w:rsidRPr="009B6A5B" w:rsidRDefault="005F1C23" w:rsidP="009B6A5B">
            <w:pPr>
              <w:keepLines/>
              <w:spacing w:before="20" w:after="20"/>
              <w:jc w:val="center"/>
              <w:rPr>
                <w:sz w:val="18"/>
                <w:szCs w:val="18"/>
              </w:rPr>
            </w:pPr>
            <w:r w:rsidRPr="009B6A5B">
              <w:rPr>
                <w:sz w:val="18"/>
                <w:szCs w:val="18"/>
              </w:rPr>
              <w:t>125.4</w:t>
            </w:r>
          </w:p>
        </w:tc>
      </w:tr>
      <w:tr w:rsidR="004C17EA" w:rsidRPr="00D62DCF" w14:paraId="54055430" w14:textId="77777777" w:rsidTr="00EA7843">
        <w:trPr>
          <w:jc w:val="center"/>
        </w:trPr>
        <w:tc>
          <w:tcPr>
            <w:tcW w:w="2211" w:type="dxa"/>
            <w:tcBorders>
              <w:left w:val="single" w:sz="1" w:space="0" w:color="000000"/>
            </w:tcBorders>
            <w:shd w:val="clear" w:color="auto" w:fill="auto"/>
          </w:tcPr>
          <w:p w14:paraId="2CE491F3" w14:textId="77777777" w:rsidR="004C17EA" w:rsidRPr="009B6A5B" w:rsidRDefault="004C17EA" w:rsidP="009B6A5B">
            <w:pPr>
              <w:keepLines/>
              <w:spacing w:before="20" w:after="20"/>
              <w:jc w:val="center"/>
              <w:rPr>
                <w:rFonts w:cs="Times New Roman"/>
                <w:sz w:val="18"/>
                <w:szCs w:val="18"/>
              </w:rPr>
            </w:pPr>
            <w:proofErr w:type="spellStart"/>
            <w:r w:rsidRPr="009B6A5B">
              <w:rPr>
                <w:rFonts w:cs="Times New Roman"/>
                <w:sz w:val="18"/>
                <w:szCs w:val="18"/>
              </w:rPr>
              <w:t>BOD</w:t>
            </w:r>
            <w:r w:rsidRPr="009B6A5B">
              <w:rPr>
                <w:rFonts w:cs="Times New Roman"/>
                <w:sz w:val="18"/>
                <w:szCs w:val="18"/>
                <w:vertAlign w:val="subscript"/>
              </w:rPr>
              <w:t>out</w:t>
            </w:r>
            <w:proofErr w:type="spellEnd"/>
          </w:p>
        </w:tc>
        <w:tc>
          <w:tcPr>
            <w:tcW w:w="2284" w:type="dxa"/>
            <w:tcBorders>
              <w:left w:val="single" w:sz="1" w:space="0" w:color="000000"/>
            </w:tcBorders>
          </w:tcPr>
          <w:p w14:paraId="57BFE893" w14:textId="77777777" w:rsidR="004C17EA" w:rsidRPr="009B6A5B" w:rsidRDefault="004C17EA" w:rsidP="009B6A5B">
            <w:pPr>
              <w:keepLines/>
              <w:spacing w:before="20" w:after="20"/>
              <w:jc w:val="center"/>
              <w:rPr>
                <w:sz w:val="18"/>
                <w:szCs w:val="18"/>
              </w:rPr>
            </w:pPr>
            <w:r w:rsidRPr="009B6A5B">
              <w:rPr>
                <w:sz w:val="18"/>
                <w:szCs w:val="18"/>
              </w:rPr>
              <w:t>mg/L</w:t>
            </w:r>
          </w:p>
        </w:tc>
        <w:tc>
          <w:tcPr>
            <w:tcW w:w="2284" w:type="dxa"/>
            <w:tcBorders>
              <w:left w:val="single" w:sz="1" w:space="0" w:color="000000"/>
              <w:right w:val="single" w:sz="1" w:space="0" w:color="000000"/>
            </w:tcBorders>
            <w:shd w:val="clear" w:color="auto" w:fill="auto"/>
          </w:tcPr>
          <w:p w14:paraId="784A4350" w14:textId="77777777" w:rsidR="004C17EA" w:rsidRPr="009B6A5B" w:rsidRDefault="005F1C23" w:rsidP="009B6A5B">
            <w:pPr>
              <w:keepLines/>
              <w:spacing w:before="20" w:after="20"/>
              <w:jc w:val="center"/>
              <w:rPr>
                <w:sz w:val="18"/>
                <w:szCs w:val="18"/>
              </w:rPr>
            </w:pPr>
            <w:r w:rsidRPr="009B6A5B">
              <w:rPr>
                <w:sz w:val="18"/>
                <w:szCs w:val="18"/>
              </w:rPr>
              <w:t>6.2</w:t>
            </w:r>
          </w:p>
        </w:tc>
      </w:tr>
      <w:tr w:rsidR="004C17EA" w:rsidRPr="00D62DCF" w14:paraId="6812FEFE" w14:textId="77777777" w:rsidTr="00EA7843">
        <w:trPr>
          <w:jc w:val="center"/>
        </w:trPr>
        <w:tc>
          <w:tcPr>
            <w:tcW w:w="2211" w:type="dxa"/>
            <w:tcBorders>
              <w:left w:val="single" w:sz="1" w:space="0" w:color="000000"/>
            </w:tcBorders>
            <w:shd w:val="clear" w:color="auto" w:fill="auto"/>
          </w:tcPr>
          <w:p w14:paraId="6B7BA6A7" w14:textId="77777777" w:rsidR="004C17EA" w:rsidRPr="009B6A5B" w:rsidRDefault="004C17EA" w:rsidP="009B6A5B">
            <w:pPr>
              <w:keepLines/>
              <w:spacing w:before="20" w:after="20"/>
              <w:jc w:val="center"/>
              <w:rPr>
                <w:sz w:val="18"/>
                <w:szCs w:val="18"/>
              </w:rPr>
            </w:pPr>
            <w:proofErr w:type="spellStart"/>
            <w:r w:rsidRPr="009B6A5B">
              <w:rPr>
                <w:rFonts w:cs="Times New Roman"/>
                <w:sz w:val="18"/>
                <w:szCs w:val="18"/>
              </w:rPr>
              <w:t>TN</w:t>
            </w:r>
            <w:r w:rsidRPr="009B6A5B">
              <w:rPr>
                <w:rFonts w:cs="Times New Roman"/>
                <w:sz w:val="18"/>
                <w:szCs w:val="18"/>
                <w:vertAlign w:val="subscript"/>
              </w:rPr>
              <w:t>in</w:t>
            </w:r>
            <w:proofErr w:type="spellEnd"/>
          </w:p>
        </w:tc>
        <w:tc>
          <w:tcPr>
            <w:tcW w:w="2284" w:type="dxa"/>
            <w:tcBorders>
              <w:left w:val="single" w:sz="1" w:space="0" w:color="000000"/>
            </w:tcBorders>
          </w:tcPr>
          <w:p w14:paraId="01B5401F" w14:textId="77777777" w:rsidR="004C17EA" w:rsidRPr="009B6A5B" w:rsidRDefault="004C17EA" w:rsidP="009B6A5B">
            <w:pPr>
              <w:keepLines/>
              <w:spacing w:before="20" w:after="20"/>
              <w:jc w:val="center"/>
              <w:rPr>
                <w:sz w:val="18"/>
                <w:szCs w:val="18"/>
              </w:rPr>
            </w:pPr>
            <w:r w:rsidRPr="009B6A5B">
              <w:rPr>
                <w:sz w:val="18"/>
                <w:szCs w:val="18"/>
              </w:rPr>
              <w:t>mg/L</w:t>
            </w:r>
          </w:p>
        </w:tc>
        <w:tc>
          <w:tcPr>
            <w:tcW w:w="2284" w:type="dxa"/>
            <w:tcBorders>
              <w:left w:val="single" w:sz="1" w:space="0" w:color="000000"/>
              <w:right w:val="single" w:sz="1" w:space="0" w:color="000000"/>
            </w:tcBorders>
            <w:shd w:val="clear" w:color="auto" w:fill="auto"/>
          </w:tcPr>
          <w:p w14:paraId="216984A9" w14:textId="77777777" w:rsidR="004C17EA" w:rsidRPr="009B6A5B" w:rsidRDefault="005F1C23" w:rsidP="009B6A5B">
            <w:pPr>
              <w:keepLines/>
              <w:spacing w:before="20" w:after="20"/>
              <w:jc w:val="center"/>
              <w:rPr>
                <w:sz w:val="18"/>
                <w:szCs w:val="18"/>
              </w:rPr>
            </w:pPr>
            <w:r w:rsidRPr="009B6A5B">
              <w:rPr>
                <w:sz w:val="18"/>
                <w:szCs w:val="18"/>
              </w:rPr>
              <w:t>27.6</w:t>
            </w:r>
          </w:p>
        </w:tc>
      </w:tr>
      <w:tr w:rsidR="004C17EA" w:rsidRPr="00D62DCF" w14:paraId="4F354B4D" w14:textId="77777777" w:rsidTr="002E4854">
        <w:trPr>
          <w:jc w:val="center"/>
        </w:trPr>
        <w:tc>
          <w:tcPr>
            <w:tcW w:w="2211" w:type="dxa"/>
            <w:tcBorders>
              <w:left w:val="single" w:sz="1" w:space="0" w:color="000000"/>
              <w:bottom w:val="single" w:sz="1" w:space="0" w:color="000000"/>
            </w:tcBorders>
            <w:shd w:val="clear" w:color="auto" w:fill="auto"/>
          </w:tcPr>
          <w:p w14:paraId="3BCD3E93" w14:textId="77777777" w:rsidR="004C17EA" w:rsidRPr="009B6A5B" w:rsidRDefault="004C17EA" w:rsidP="009B6A5B">
            <w:pPr>
              <w:keepLines/>
              <w:spacing w:before="20" w:after="20"/>
              <w:jc w:val="center"/>
              <w:rPr>
                <w:rFonts w:cs="Times New Roman"/>
                <w:sz w:val="18"/>
                <w:szCs w:val="18"/>
              </w:rPr>
            </w:pPr>
            <w:proofErr w:type="spellStart"/>
            <w:r w:rsidRPr="009B6A5B">
              <w:rPr>
                <w:rFonts w:cs="Times New Roman"/>
                <w:sz w:val="18"/>
                <w:szCs w:val="18"/>
              </w:rPr>
              <w:t>TN</w:t>
            </w:r>
            <w:r w:rsidRPr="009B6A5B">
              <w:rPr>
                <w:rFonts w:cs="Times New Roman"/>
                <w:sz w:val="18"/>
                <w:szCs w:val="18"/>
                <w:vertAlign w:val="subscript"/>
              </w:rPr>
              <w:t>out</w:t>
            </w:r>
            <w:proofErr w:type="spellEnd"/>
          </w:p>
        </w:tc>
        <w:tc>
          <w:tcPr>
            <w:tcW w:w="2284" w:type="dxa"/>
            <w:tcBorders>
              <w:left w:val="single" w:sz="1" w:space="0" w:color="000000"/>
              <w:bottom w:val="single" w:sz="1" w:space="0" w:color="000000"/>
            </w:tcBorders>
          </w:tcPr>
          <w:p w14:paraId="4BE6613F" w14:textId="77777777" w:rsidR="004C17EA" w:rsidRPr="009B6A5B" w:rsidRDefault="004C17EA" w:rsidP="009B6A5B">
            <w:pPr>
              <w:keepLines/>
              <w:spacing w:before="20" w:after="20"/>
              <w:jc w:val="center"/>
              <w:rPr>
                <w:sz w:val="18"/>
                <w:szCs w:val="18"/>
              </w:rPr>
            </w:pPr>
            <w:r w:rsidRPr="009B6A5B">
              <w:rPr>
                <w:sz w:val="18"/>
                <w:szCs w:val="18"/>
              </w:rPr>
              <w:t>mg/L</w:t>
            </w:r>
          </w:p>
        </w:tc>
        <w:tc>
          <w:tcPr>
            <w:tcW w:w="2284" w:type="dxa"/>
            <w:tcBorders>
              <w:left w:val="single" w:sz="1" w:space="0" w:color="000000"/>
              <w:bottom w:val="single" w:sz="1" w:space="0" w:color="000000"/>
              <w:right w:val="single" w:sz="1" w:space="0" w:color="000000"/>
            </w:tcBorders>
            <w:shd w:val="clear" w:color="auto" w:fill="auto"/>
          </w:tcPr>
          <w:p w14:paraId="602D918A" w14:textId="77777777" w:rsidR="004C17EA" w:rsidRPr="009B6A5B" w:rsidRDefault="005F1C23" w:rsidP="009B6A5B">
            <w:pPr>
              <w:keepLines/>
              <w:spacing w:before="20" w:after="20"/>
              <w:jc w:val="center"/>
              <w:rPr>
                <w:sz w:val="18"/>
                <w:szCs w:val="18"/>
              </w:rPr>
            </w:pPr>
            <w:r w:rsidRPr="009B6A5B">
              <w:rPr>
                <w:sz w:val="18"/>
                <w:szCs w:val="18"/>
              </w:rPr>
              <w:t>11.0</w:t>
            </w:r>
          </w:p>
        </w:tc>
      </w:tr>
    </w:tbl>
    <w:p w14:paraId="4A969F97" w14:textId="77777777" w:rsidR="004E5483" w:rsidRPr="004E5483" w:rsidRDefault="004E5483" w:rsidP="001F15A4">
      <w:pPr>
        <w:pStyle w:val="ExtendedAbstract"/>
      </w:pPr>
    </w:p>
    <w:p w14:paraId="0F753CCC" w14:textId="77777777" w:rsidR="004E5483" w:rsidRDefault="004E5483" w:rsidP="004E5483"/>
    <w:p w14:paraId="1FAA28E4" w14:textId="77777777" w:rsidR="004E5483" w:rsidRDefault="003526C3" w:rsidP="003526C3">
      <w:pPr>
        <w:jc w:val="center"/>
      </w:pPr>
      <w:r>
        <w:rPr>
          <w:noProof/>
          <w:lang w:bidi="ar-SA"/>
        </w:rPr>
        <w:lastRenderedPageBreak/>
        <w:drawing>
          <wp:inline distT="0" distB="0" distL="0" distR="0" wp14:anchorId="449453AE" wp14:editId="095B0691">
            <wp:extent cx="5337404" cy="182583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9885" cy="1830106"/>
                    </a:xfrm>
                    <a:prstGeom prst="rect">
                      <a:avLst/>
                    </a:prstGeom>
                  </pic:spPr>
                </pic:pic>
              </a:graphicData>
            </a:graphic>
          </wp:inline>
        </w:drawing>
      </w:r>
    </w:p>
    <w:p w14:paraId="5DEF70F1" w14:textId="77777777" w:rsidR="004E5483" w:rsidRPr="00D55B85" w:rsidRDefault="004E5483" w:rsidP="00F011B6">
      <w:pPr>
        <w:pStyle w:val="Caption"/>
        <w:spacing w:before="60" w:after="60"/>
        <w:rPr>
          <w:sz w:val="18"/>
          <w:szCs w:val="22"/>
        </w:rPr>
      </w:pPr>
      <w:r w:rsidRPr="00D55B85">
        <w:rPr>
          <w:sz w:val="18"/>
          <w:szCs w:val="22"/>
        </w:rPr>
        <w:t xml:space="preserve">Figure 1. </w:t>
      </w:r>
      <w:r w:rsidR="00C2318D">
        <w:rPr>
          <w:sz w:val="18"/>
          <w:szCs w:val="22"/>
        </w:rPr>
        <w:t>Comparison of (a) Completely Mixed Flow Reactor and (b) Plug-Flow Reactor</w:t>
      </w:r>
      <w:r w:rsidR="00F011B6">
        <w:rPr>
          <w:sz w:val="18"/>
          <w:szCs w:val="22"/>
        </w:rPr>
        <w:t xml:space="preserve"> </w:t>
      </w:r>
      <w:r w:rsidR="00F011B6">
        <w:rPr>
          <w:sz w:val="18"/>
          <w:szCs w:val="22"/>
        </w:rPr>
        <w:fldChar w:fldCharType="begin"/>
      </w:r>
      <w:r w:rsidR="00F011B6">
        <w:rPr>
          <w:sz w:val="18"/>
          <w:szCs w:val="22"/>
        </w:rPr>
        <w:instrText xml:space="preserve"> ADDIN ZOTERO_ITEM CSL_CITATION {"citationID":"4gYWjo0F","properties":{"formattedCitation":"[1]","plainCitation":"[1]","noteIndex":0},"citationItems":[{"id":1619,"uris":["http://zotero.org/users/2586443/items/X6TDNWZ4"],"uri":["http://zotero.org/users/2586443/items/X6TDNWZ4"],"itemData":{"id":1619,"type":"book","title":"Environmental Engineering: Fundamentals, Sustainability, Design, 2nd Edition","publisher":"Wiley Global Education","number-of-pages":"707","source":"Google Books","abstract":"Now in its second edition, Environmental Engineering: Fundamentals, Sustainability, Design by Mihelcic and Zimmerman has evolved from the traditional approach centered on describing, characterizing, quantifying, and monitoring current environmental problems to one that is focused on the design and development of innovative new solutions. The breadth and depth of coverage is appropriate for a one-semester undergraduate course, having been streamlined to a manageable 11 chapters in the new edition.","ISBN":"978-1-118-83251-6","shortTitle":"Environmental Engineering","language":"en","author":[{"family":"Mihelcic","given":"James R."},{"family":"Zimmerman","given":"Julie B."}],"issued":{"date-parts":[["2014",1,2]]}}}],"schema":"https://github.com/citation-style-language/schema/raw/master/csl-citation.json"} </w:instrText>
      </w:r>
      <w:r w:rsidR="00F011B6">
        <w:rPr>
          <w:sz w:val="18"/>
          <w:szCs w:val="22"/>
        </w:rPr>
        <w:fldChar w:fldCharType="separate"/>
      </w:r>
      <w:r w:rsidR="00F011B6" w:rsidRPr="00F011B6">
        <w:rPr>
          <w:rFonts w:cs="Times New Roman"/>
          <w:sz w:val="18"/>
        </w:rPr>
        <w:t>[1]</w:t>
      </w:r>
      <w:r w:rsidR="00F011B6">
        <w:rPr>
          <w:sz w:val="18"/>
          <w:szCs w:val="22"/>
        </w:rPr>
        <w:fldChar w:fldCharType="end"/>
      </w:r>
      <w:r w:rsidRPr="00D55B85">
        <w:rPr>
          <w:sz w:val="18"/>
          <w:szCs w:val="22"/>
        </w:rPr>
        <w:t xml:space="preserve"> [‘Caption’, Times New Roman, </w:t>
      </w:r>
      <w:r w:rsidR="00D55B85">
        <w:rPr>
          <w:sz w:val="18"/>
          <w:szCs w:val="22"/>
        </w:rPr>
        <w:t>9</w:t>
      </w:r>
      <w:r w:rsidRPr="00D55B85">
        <w:rPr>
          <w:sz w:val="18"/>
          <w:szCs w:val="22"/>
        </w:rPr>
        <w:t>pt, Italic, centred]</w:t>
      </w:r>
    </w:p>
    <w:p w14:paraId="45CCBDA5" w14:textId="77777777" w:rsidR="004E5483" w:rsidRDefault="004E5483" w:rsidP="001F15A4">
      <w:pPr>
        <w:pStyle w:val="ExtendedAbstract"/>
      </w:pPr>
    </w:p>
    <w:p w14:paraId="5A943297" w14:textId="77777777" w:rsidR="00D313A1" w:rsidRDefault="00D313A1" w:rsidP="00D313A1">
      <w:pPr>
        <w:pStyle w:val="SubHeading"/>
      </w:pPr>
      <w:r>
        <w:t>Results</w:t>
      </w:r>
      <w:r w:rsidR="00D50FB8">
        <w:t xml:space="preserve"> and Discussion</w:t>
      </w:r>
      <w:r>
        <w:t xml:space="preserve"> [‘</w:t>
      </w:r>
      <w:proofErr w:type="spellStart"/>
      <w:r>
        <w:t>SubHeading</w:t>
      </w:r>
      <w:proofErr w:type="spellEnd"/>
      <w:r>
        <w:t xml:space="preserve">’, Times New </w:t>
      </w:r>
      <w:r w:rsidRPr="00C2471B">
        <w:t>Roman</w:t>
      </w:r>
      <w:r>
        <w:t>, 10pt, Capitalised, left justified]</w:t>
      </w:r>
    </w:p>
    <w:p w14:paraId="0265A7EC" w14:textId="77777777" w:rsidR="001F15A4" w:rsidRDefault="001F15A4" w:rsidP="00DD3EF3">
      <w:pPr>
        <w:pStyle w:val="ExtendedAbstract"/>
      </w:pPr>
      <w:r>
        <w:t xml:space="preserve">This is an extra paragraph to fill up some space and highlight the formatting style.  This paper makes a novel contribution to the field of abstract formatting.  Based on the work of the </w:t>
      </w:r>
      <w:r w:rsidR="00A316F0">
        <w:t xml:space="preserve">seminal work from past authors </w:t>
      </w:r>
      <w:r w:rsidR="00A316F0">
        <w:fldChar w:fldCharType="begin"/>
      </w:r>
      <w:r w:rsidR="00755DF8">
        <w:instrText xml:space="preserve"> ADDIN ZOTERO_ITEM CSL_CITATION {"citationID":"dVXhEPp7","properties":{"formattedCitation":"[2]","plainCitation":"[2]","noteIndex":0},"citationItems":[{"id":1162,"uris":["http://zotero.org/users/2586443/items/RCJZFM28"],"uri":["http://zotero.org/users/2586443/items/RCJZFM28"],"itemData":{"id":1162,"type":"report","title":"Guidelines for Water Reuse","publisher":"United States Environmental Protection Agency (USEPA)","publisher-place":"Washington D. C., USA","page":"643","event-place":"Washington D. C., USA","URL":"https://www3.epa.gov/region1/npdes/merrimackstation/pdfs/ar/AR-1530.pdf","number":"EPA/600/R-12/618","language":"EN","author":[{"family":"USEPA","given":""}],"issued":{"date-parts":[["2012"]]},"accessed":{"date-parts":[["2018",1,8]]}}}],"schema":"https://github.com/citation-style-language/schema/raw/master/csl-citation.json"} </w:instrText>
      </w:r>
      <w:r w:rsidR="00A316F0">
        <w:fldChar w:fldCharType="separate"/>
      </w:r>
      <w:r w:rsidR="00755DF8" w:rsidRPr="00755DF8">
        <w:rPr>
          <w:rFonts w:cs="Times New Roman"/>
        </w:rPr>
        <w:t>[2]</w:t>
      </w:r>
      <w:r w:rsidR="00A316F0">
        <w:fldChar w:fldCharType="end"/>
      </w:r>
      <w:r>
        <w:t>, and with due reference to the post-modernist, pre-modernist,</w:t>
      </w:r>
      <w:r w:rsidR="00755DF8">
        <w:t xml:space="preserve"> modern and non-modern schools </w:t>
      </w:r>
      <w:r w:rsidR="00755DF8">
        <w:fldChar w:fldCharType="begin"/>
      </w:r>
      <w:r w:rsidR="00755DF8">
        <w:instrText xml:space="preserve"> ADDIN ZOTERO_ITEM CSL_CITATION {"citationID":"1Un1XtC2","properties":{"formattedCitation":"[3]","plainCitation":"[3]","noteIndex":0},"citationItems":[{"id":947,"uris":["http://zotero.org/users/2586443/items/ZQDXWNBC"],"uri":["http://zotero.org/users/2586443/items/ZQDXWNBC"],"itemData":{"id":947,"type":"webpage","title":"Systems Resilience for Multihazard Environments: Definition, Metrics, and Valuation for Decision Making - Ayyub - 2013 - Risk Analysis - Wiley Online Library","URL":"http://onlinelibrary.wiley.com/doi/10.1111/risa.12093/full","accessed":{"date-parts":[["2018",2,26]]}}}],"schema":"https://github.com/citation-style-language/schema/raw/master/csl-citation.json"} </w:instrText>
      </w:r>
      <w:r w:rsidR="00755DF8">
        <w:fldChar w:fldCharType="separate"/>
      </w:r>
      <w:r w:rsidR="00755DF8" w:rsidRPr="00755DF8">
        <w:rPr>
          <w:rFonts w:cs="Times New Roman"/>
        </w:rPr>
        <w:t>[3]</w:t>
      </w:r>
      <w:r w:rsidR="00755DF8">
        <w:fldChar w:fldCharType="end"/>
      </w:r>
      <w:r>
        <w:t>, this article details the advances made by the current authors in the fields of typography, typesetting and good taste</w:t>
      </w:r>
      <w:r w:rsidR="00DD3EF3">
        <w:t xml:space="preserve"> </w:t>
      </w:r>
      <w:r w:rsidR="00DD3EF3">
        <w:fldChar w:fldCharType="begin"/>
      </w:r>
      <w:r w:rsidR="00DD3EF3">
        <w:instrText xml:space="preserve"> ADDIN ZOTERO_ITEM CSL_CITATION {"citationID":"cTx3YCad","properties":{"formattedCitation":"[4]","plainCitation":"[4]","noteIndex":0},"citationItems":[{"id":765,"uris":["http://zotero.org/users/2586443/items/XS4AUMJT"],"uri":["http://zotero.org/users/2586443/items/XS4AUMJT"],"itemData":{"id":765,"type":"article-journal","title":"Water recovery from treated urban wastewater by ultrafiltration and reverse osmosis for landscape irrigation","container-title":"Urban Water Journal","page":"553-568","volume":"13","issue":"6","source":"Taylor and Francis+NEJM","abstract":"Techno-economic feasibility of water recovery from secondary effluents of an urban wastewater treatment plant (WWTP) for landscape irrigation was investigated considering two distinctive strategies: ultrafiltration (UF)/chlorination and UF/reverse osmosis (RO). Experimental performance evaluations were conducted separately for UF membranes and for different RO trans-membrane pressures. The quality of the effluent recovered by the UF/RO system was in accordance with the national and international guidelines. The produced reuse water was first class quality according to the national guideline for all parameters except sodium adsorption ratio (SAR), which can be eliminated readily by direct addition of KCl into the recovered water. Estimated field-scale costs indicated that UF/RO yielded a total cost of US$12,500,000–13,600,000 with annual operating cost being US$482,000–533,000 at 5–20 bar. The economic estimations guaranteed reimbursement with US$7,600,000–7,400,000 net present value, 0.22–0.39 year payback time, US$0.44–0.49/m3 treatment cost, and a benefit/cost ratio of 0.57.","DOI":"10.1080/1573062X.2014.992917","ISSN":"1573-062X","author":[{"family":"Dogan","given":"Esra Can"},{"family":"Yasar","given":"Aynur"},{"family":"Sen","given":"Unal"},{"family":"Aydiner","given":"Coskun"}],"issued":{"date-parts":[["2016",8,17]]}}}],"schema":"https://github.com/citation-style-language/schema/raw/master/csl-citation.json"} </w:instrText>
      </w:r>
      <w:r w:rsidR="00DD3EF3">
        <w:fldChar w:fldCharType="separate"/>
      </w:r>
      <w:r w:rsidR="00DD3EF3" w:rsidRPr="00DD3EF3">
        <w:rPr>
          <w:rFonts w:cs="Times New Roman"/>
        </w:rPr>
        <w:t>[4]</w:t>
      </w:r>
      <w:r w:rsidR="00DD3EF3">
        <w:fldChar w:fldCharType="end"/>
      </w:r>
      <w:r>
        <w:t xml:space="preserve">. </w:t>
      </w:r>
    </w:p>
    <w:p w14:paraId="10E7ACC7" w14:textId="77777777" w:rsidR="001F7341" w:rsidRDefault="00B556E6" w:rsidP="001F7341">
      <w:pPr>
        <w:pStyle w:val="SubHeading"/>
      </w:pPr>
      <w:r>
        <w:t>Conclusions</w:t>
      </w:r>
      <w:r w:rsidR="001F7341">
        <w:t xml:space="preserve"> [‘</w:t>
      </w:r>
      <w:proofErr w:type="spellStart"/>
      <w:r w:rsidR="001F7341">
        <w:t>SubHeading</w:t>
      </w:r>
      <w:proofErr w:type="spellEnd"/>
      <w:r w:rsidR="001F7341">
        <w:t xml:space="preserve">’, Times New </w:t>
      </w:r>
      <w:r w:rsidR="001F7341" w:rsidRPr="00C2471B">
        <w:t>Roman</w:t>
      </w:r>
      <w:r w:rsidR="001F7341">
        <w:t>, 1</w:t>
      </w:r>
      <w:r w:rsidR="00D313A1">
        <w:t>0</w:t>
      </w:r>
      <w:r w:rsidR="001F7341">
        <w:t>pt, Capitalised, left justified]</w:t>
      </w:r>
    </w:p>
    <w:p w14:paraId="22DC0FEF" w14:textId="77777777" w:rsidR="00885F07" w:rsidRDefault="00885F07" w:rsidP="00065A38">
      <w:pPr>
        <w:pStyle w:val="ExtendedAbstract"/>
      </w:pPr>
      <w:r>
        <w:t>This is the template that should be used to format your papers for the conference.  Papers that are not submitted in this format will not be accepted</w:t>
      </w:r>
      <w:r w:rsidR="00965300">
        <w:t>.</w:t>
      </w:r>
    </w:p>
    <w:p w14:paraId="6F5C12CC" w14:textId="77777777" w:rsidR="00C03F79" w:rsidRPr="00B929ED" w:rsidRDefault="003F39B2" w:rsidP="001F7341">
      <w:pPr>
        <w:pStyle w:val="Heading"/>
      </w:pPr>
      <w:r w:rsidRPr="00B929ED">
        <w:t>References</w:t>
      </w:r>
    </w:p>
    <w:p w14:paraId="3A4A072F" w14:textId="77777777" w:rsidR="003F39B2" w:rsidRPr="005A7A47" w:rsidRDefault="003F39B2" w:rsidP="008A5B15">
      <w:pPr>
        <w:pStyle w:val="References"/>
        <w:jc w:val="both"/>
        <w:rPr>
          <w:sz w:val="18"/>
          <w:szCs w:val="18"/>
        </w:rPr>
      </w:pPr>
      <w:r w:rsidRPr="005A7A47">
        <w:rPr>
          <w:sz w:val="18"/>
          <w:szCs w:val="18"/>
        </w:rPr>
        <w:t>[Times New Roman,</w:t>
      </w:r>
      <w:r w:rsidR="00D313A1" w:rsidRPr="005A7A47">
        <w:rPr>
          <w:sz w:val="18"/>
          <w:szCs w:val="18"/>
        </w:rPr>
        <w:t xml:space="preserve"> </w:t>
      </w:r>
      <w:r w:rsidR="00CE17F2">
        <w:rPr>
          <w:sz w:val="18"/>
          <w:szCs w:val="18"/>
        </w:rPr>
        <w:t>9</w:t>
      </w:r>
      <w:r w:rsidR="00D313A1" w:rsidRPr="005A7A47">
        <w:rPr>
          <w:sz w:val="18"/>
          <w:szCs w:val="18"/>
        </w:rPr>
        <w:t>pt,</w:t>
      </w:r>
      <w:r w:rsidRPr="005A7A47">
        <w:rPr>
          <w:sz w:val="18"/>
          <w:szCs w:val="18"/>
        </w:rPr>
        <w:t xml:space="preserve"> Left Aligned, ‘References’ format, Numbering following IEEE style]</w:t>
      </w:r>
    </w:p>
    <w:p w14:paraId="45025F47" w14:textId="77777777" w:rsidR="00DD3EF3" w:rsidRPr="00DD3EF3" w:rsidRDefault="00F011B6" w:rsidP="008A5B15">
      <w:pPr>
        <w:pStyle w:val="Bibliography"/>
        <w:jc w:val="both"/>
        <w:rPr>
          <w:rFonts w:cs="Times New Roman"/>
          <w:sz w:val="18"/>
        </w:rPr>
      </w:pPr>
      <w:r>
        <w:rPr>
          <w:sz w:val="18"/>
          <w:szCs w:val="18"/>
        </w:rPr>
        <w:fldChar w:fldCharType="begin"/>
      </w:r>
      <w:r>
        <w:rPr>
          <w:sz w:val="18"/>
          <w:szCs w:val="18"/>
        </w:rPr>
        <w:instrText xml:space="preserve"> ADDIN ZOTERO_BIBL {"uncited":[],"omitted":[],"custom":[]} CSL_BIBLIOGRAPHY </w:instrText>
      </w:r>
      <w:r>
        <w:rPr>
          <w:sz w:val="18"/>
          <w:szCs w:val="18"/>
        </w:rPr>
        <w:fldChar w:fldCharType="separate"/>
      </w:r>
      <w:r w:rsidR="00DD3EF3" w:rsidRPr="00DD3EF3">
        <w:rPr>
          <w:rFonts w:cs="Times New Roman"/>
          <w:sz w:val="18"/>
        </w:rPr>
        <w:t>[1]</w:t>
      </w:r>
      <w:r w:rsidR="00DD3EF3" w:rsidRPr="00DD3EF3">
        <w:rPr>
          <w:rFonts w:cs="Times New Roman"/>
          <w:sz w:val="18"/>
        </w:rPr>
        <w:tab/>
        <w:t xml:space="preserve">J. R. Mihelcic and J. B. Zimmerman, </w:t>
      </w:r>
      <w:r w:rsidR="00DD3EF3" w:rsidRPr="00DD3EF3">
        <w:rPr>
          <w:rFonts w:cs="Times New Roman"/>
          <w:i/>
          <w:iCs/>
          <w:sz w:val="18"/>
        </w:rPr>
        <w:t>Environmental Engineering: Fundamentals, Sustainability, Design, 2nd Edition</w:t>
      </w:r>
      <w:r w:rsidR="00DD3EF3" w:rsidRPr="00DD3EF3">
        <w:rPr>
          <w:rFonts w:cs="Times New Roman"/>
          <w:sz w:val="18"/>
        </w:rPr>
        <w:t>. Wiley Global Education, 2014.</w:t>
      </w:r>
    </w:p>
    <w:p w14:paraId="070E1265" w14:textId="77777777" w:rsidR="00DD3EF3" w:rsidRPr="00DD3EF3" w:rsidRDefault="00DD3EF3" w:rsidP="008A5B15">
      <w:pPr>
        <w:pStyle w:val="Bibliography"/>
        <w:jc w:val="both"/>
        <w:rPr>
          <w:rFonts w:cs="Times New Roman"/>
          <w:sz w:val="18"/>
        </w:rPr>
      </w:pPr>
      <w:r w:rsidRPr="00DD3EF3">
        <w:rPr>
          <w:rFonts w:cs="Times New Roman"/>
          <w:sz w:val="18"/>
        </w:rPr>
        <w:t>[2]</w:t>
      </w:r>
      <w:r w:rsidRPr="00DD3EF3">
        <w:rPr>
          <w:rFonts w:cs="Times New Roman"/>
          <w:sz w:val="18"/>
        </w:rPr>
        <w:tab/>
        <w:t>USEPA, ‘Guidelines for Water Reuse’, United States Environmental Protection Agency (USEPA), Washington D. C., USA, EPA/600/R-12/618, 2012.</w:t>
      </w:r>
    </w:p>
    <w:p w14:paraId="41E459E0" w14:textId="77777777" w:rsidR="00DD3EF3" w:rsidRPr="00DD3EF3" w:rsidRDefault="00DD3EF3" w:rsidP="008A5B15">
      <w:pPr>
        <w:pStyle w:val="Bibliography"/>
        <w:jc w:val="both"/>
        <w:rPr>
          <w:rFonts w:cs="Times New Roman"/>
          <w:sz w:val="18"/>
        </w:rPr>
      </w:pPr>
      <w:r w:rsidRPr="00DD3EF3">
        <w:rPr>
          <w:rFonts w:cs="Times New Roman"/>
          <w:sz w:val="18"/>
        </w:rPr>
        <w:t>[3]</w:t>
      </w:r>
      <w:r w:rsidRPr="00DD3EF3">
        <w:rPr>
          <w:rFonts w:cs="Times New Roman"/>
          <w:sz w:val="18"/>
        </w:rPr>
        <w:tab/>
        <w:t>‘Systems Resilience for Multihazard Environments: Definition, Metrics, and Valuation for Decision Making - Ayyub - 2013 - Risk Analysis - Wiley Online Library’. [Online]. Available: http://onlinelibrary.wiley.com/doi/10.1111/risa.12093/full. [Accessed: 26-Feb-2018].</w:t>
      </w:r>
    </w:p>
    <w:p w14:paraId="7058AE27" w14:textId="77777777" w:rsidR="00DD3EF3" w:rsidRPr="00DD3EF3" w:rsidRDefault="00DD3EF3" w:rsidP="008A5B15">
      <w:pPr>
        <w:pStyle w:val="Bibliography"/>
        <w:jc w:val="both"/>
        <w:rPr>
          <w:rFonts w:cs="Times New Roman"/>
          <w:sz w:val="18"/>
        </w:rPr>
      </w:pPr>
      <w:r w:rsidRPr="00DD3EF3">
        <w:rPr>
          <w:rFonts w:cs="Times New Roman"/>
          <w:sz w:val="18"/>
        </w:rPr>
        <w:t>[4]</w:t>
      </w:r>
      <w:r w:rsidRPr="00DD3EF3">
        <w:rPr>
          <w:rFonts w:cs="Times New Roman"/>
          <w:sz w:val="18"/>
        </w:rPr>
        <w:tab/>
        <w:t xml:space="preserve">E. C. Dogan, A. Yasar, U. Sen, and C. Aydiner, ‘Water recovery from treated urban wastewater by ultrafiltration and reverse osmosis for landscape irrigation’, </w:t>
      </w:r>
      <w:r w:rsidRPr="00DD3EF3">
        <w:rPr>
          <w:rFonts w:cs="Times New Roman"/>
          <w:i/>
          <w:iCs/>
          <w:sz w:val="18"/>
        </w:rPr>
        <w:t>Urban Water J.</w:t>
      </w:r>
      <w:r w:rsidRPr="00DD3EF3">
        <w:rPr>
          <w:rFonts w:cs="Times New Roman"/>
          <w:sz w:val="18"/>
        </w:rPr>
        <w:t>, vol. 13, no. 6, pp. 553–568, Aug. 2016, doi: 10.1080/1573062X.2014.992917.</w:t>
      </w:r>
    </w:p>
    <w:p w14:paraId="151E0ED3" w14:textId="77777777" w:rsidR="00A316F0" w:rsidRPr="005A7A47" w:rsidRDefault="00F011B6" w:rsidP="008A5B15">
      <w:pPr>
        <w:pStyle w:val="References"/>
        <w:tabs>
          <w:tab w:val="left" w:pos="384"/>
        </w:tabs>
        <w:jc w:val="both"/>
        <w:rPr>
          <w:sz w:val="18"/>
          <w:szCs w:val="18"/>
        </w:rPr>
      </w:pPr>
      <w:r>
        <w:rPr>
          <w:sz w:val="18"/>
          <w:szCs w:val="18"/>
        </w:rPr>
        <w:fldChar w:fldCharType="end"/>
      </w:r>
    </w:p>
    <w:p w14:paraId="3D2B637C" w14:textId="77777777" w:rsidR="003F39B2" w:rsidRPr="005A7A47" w:rsidRDefault="003F39B2" w:rsidP="003F39B2">
      <w:pPr>
        <w:pStyle w:val="References"/>
        <w:rPr>
          <w:sz w:val="18"/>
          <w:szCs w:val="18"/>
        </w:rPr>
      </w:pPr>
      <w:bookmarkStart w:id="0" w:name="_GoBack"/>
      <w:bookmarkEnd w:id="0"/>
    </w:p>
    <w:sectPr w:rsidR="003F39B2" w:rsidRPr="005A7A47" w:rsidSect="003E2D96">
      <w:headerReference w:type="default" r:id="rId9"/>
      <w:pgSz w:w="11906" w:h="16838"/>
      <w:pgMar w:top="1134" w:right="1134" w:bottom="1134"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8E59" w14:textId="77777777" w:rsidR="007A2C0F" w:rsidRDefault="007A2C0F">
      <w:r>
        <w:separator/>
      </w:r>
    </w:p>
  </w:endnote>
  <w:endnote w:type="continuationSeparator" w:id="0">
    <w:p w14:paraId="245CC88B" w14:textId="77777777" w:rsidR="007A2C0F" w:rsidRDefault="007A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CJK SC Regular">
    <w:altName w:val="Arial Unicode MS"/>
    <w:charset w:val="80"/>
    <w:family w:val="swiss"/>
    <w:pitch w:val="variable"/>
    <w:sig w:usb0="00000000" w:usb1="2BDF3C10" w:usb2="00000016" w:usb3="00000000" w:csb0="002E0107" w:csb1="00000000"/>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7302" w14:textId="77777777" w:rsidR="007A2C0F" w:rsidRDefault="007A2C0F">
      <w:r>
        <w:separator/>
      </w:r>
    </w:p>
  </w:footnote>
  <w:footnote w:type="continuationSeparator" w:id="0">
    <w:p w14:paraId="61C576BB" w14:textId="77777777" w:rsidR="007A2C0F" w:rsidRDefault="007A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384"/>
      <w:gridCol w:w="8470"/>
    </w:tblGrid>
    <w:tr w:rsidR="009A57FA" w:rsidRPr="005045C2" w14:paraId="11F7DBAD" w14:textId="77777777" w:rsidTr="007B28F2">
      <w:trPr>
        <w:trHeight w:val="571"/>
      </w:trPr>
      <w:tc>
        <w:tcPr>
          <w:tcW w:w="1384" w:type="dxa"/>
          <w:shd w:val="clear" w:color="auto" w:fill="auto"/>
          <w:vAlign w:val="center"/>
        </w:tcPr>
        <w:p w14:paraId="6075A30F" w14:textId="5B6BBE78" w:rsidR="003E2D96" w:rsidRPr="002D5DD0" w:rsidRDefault="007B28F2" w:rsidP="007B28F2">
          <w:r>
            <w:object w:dxaOrig="2910" w:dyaOrig="3105" w14:anchorId="4D645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7.25pt">
                <v:imagedata r:id="rId1" o:title=""/>
              </v:shape>
              <o:OLEObject Type="Embed" ProgID="PBrush" ShapeID="_x0000_i1025" DrawAspect="Content" ObjectID="_1676801972" r:id="rId2"/>
            </w:object>
          </w:r>
        </w:p>
      </w:tc>
      <w:tc>
        <w:tcPr>
          <w:tcW w:w="8470" w:type="dxa"/>
          <w:shd w:val="clear" w:color="auto" w:fill="auto"/>
          <w:vAlign w:val="center"/>
        </w:tcPr>
        <w:p w14:paraId="1BFD7049" w14:textId="6839F5EA" w:rsidR="00847A4E" w:rsidRPr="00847A4E" w:rsidRDefault="00847A4E" w:rsidP="007B28F2">
          <w:pPr>
            <w:jc w:val="right"/>
            <w:rPr>
              <w:b/>
              <w:bCs/>
              <w:color w:val="0070C0"/>
              <w:sz w:val="6"/>
              <w:szCs w:val="10"/>
            </w:rPr>
          </w:pPr>
        </w:p>
        <w:p w14:paraId="3371DA01" w14:textId="77777777" w:rsidR="007B28F2" w:rsidRDefault="007B28F2" w:rsidP="007B28F2">
          <w:pPr>
            <w:spacing w:before="20" w:after="20"/>
            <w:jc w:val="right"/>
            <w:rPr>
              <w:b/>
              <w:bCs/>
              <w:color w:val="0070C0"/>
              <w:sz w:val="20"/>
            </w:rPr>
          </w:pPr>
        </w:p>
        <w:p w14:paraId="64C96155" w14:textId="74A54C40" w:rsidR="009A57FA" w:rsidRPr="0097048F" w:rsidRDefault="003E2D96" w:rsidP="007B28F2">
          <w:pPr>
            <w:spacing w:before="20" w:after="20"/>
            <w:jc w:val="right"/>
            <w:rPr>
              <w:b/>
              <w:bCs/>
              <w:color w:val="0070C0"/>
              <w:sz w:val="20"/>
            </w:rPr>
          </w:pPr>
          <w:r>
            <w:rPr>
              <w:b/>
              <w:bCs/>
              <w:color w:val="0070C0"/>
              <w:sz w:val="20"/>
            </w:rPr>
            <w:t xml:space="preserve">The virtual conference of </w:t>
          </w:r>
          <w:r w:rsidR="0097048F" w:rsidRPr="0097048F">
            <w:rPr>
              <w:b/>
              <w:bCs/>
              <w:color w:val="0070C0"/>
              <w:sz w:val="20"/>
            </w:rPr>
            <w:t>AQUA</w:t>
          </w:r>
          <w:r w:rsidR="00226E24" w:rsidRPr="00226E24">
            <w:rPr>
              <w:rFonts w:hint="eastAsia"/>
              <w:b/>
              <w:bCs/>
              <w:color w:val="0070C0"/>
              <w:sz w:val="20"/>
            </w:rPr>
            <w:t>≈</w:t>
          </w:r>
          <w:r w:rsidR="0097048F" w:rsidRPr="0097048F">
            <w:rPr>
              <w:b/>
              <w:bCs/>
              <w:color w:val="0070C0"/>
              <w:sz w:val="20"/>
            </w:rPr>
            <w:t>360</w:t>
          </w:r>
          <w:r w:rsidR="007B28F2">
            <w:rPr>
              <w:b/>
              <w:bCs/>
              <w:color w:val="0070C0"/>
              <w:sz w:val="20"/>
            </w:rPr>
            <w:t>:</w:t>
          </w:r>
          <w:r>
            <w:rPr>
              <w:b/>
              <w:bCs/>
              <w:color w:val="0070C0"/>
              <w:sz w:val="20"/>
            </w:rPr>
            <w:t xml:space="preserve"> </w:t>
          </w:r>
          <w:r w:rsidR="0097048F" w:rsidRPr="0097048F">
            <w:rPr>
              <w:b/>
              <w:bCs/>
              <w:color w:val="0070C0"/>
              <w:sz w:val="20"/>
            </w:rPr>
            <w:t>Water for All - Emerging Issues and Innovations</w:t>
          </w:r>
        </w:p>
        <w:p w14:paraId="1CA7D84B" w14:textId="4F76F20F" w:rsidR="009A57FA" w:rsidRDefault="00B112D8" w:rsidP="007B28F2">
          <w:pPr>
            <w:spacing w:before="20" w:after="20"/>
            <w:jc w:val="right"/>
            <w:rPr>
              <w:b/>
              <w:bCs/>
              <w:sz w:val="20"/>
            </w:rPr>
          </w:pPr>
          <w:r>
            <w:rPr>
              <w:b/>
              <w:bCs/>
              <w:sz w:val="20"/>
            </w:rPr>
            <w:t>3</w:t>
          </w:r>
          <w:r w:rsidR="00E54716" w:rsidRPr="00E54716">
            <w:rPr>
              <w:b/>
              <w:bCs/>
              <w:sz w:val="20"/>
            </w:rPr>
            <w:t>1</w:t>
          </w:r>
          <w:r w:rsidR="003E2D96">
            <w:rPr>
              <w:b/>
              <w:bCs/>
              <w:sz w:val="20"/>
              <w:vertAlign w:val="superscript"/>
            </w:rPr>
            <w:t>st</w:t>
          </w:r>
          <w:r w:rsidR="003E2D96" w:rsidRPr="003E2D96">
            <w:rPr>
              <w:b/>
              <w:bCs/>
              <w:sz w:val="20"/>
            </w:rPr>
            <w:t xml:space="preserve"> </w:t>
          </w:r>
          <w:r>
            <w:rPr>
              <w:b/>
              <w:bCs/>
              <w:sz w:val="20"/>
            </w:rPr>
            <w:t>August 2021 – 2</w:t>
          </w:r>
          <w:r w:rsidR="003E2D96">
            <w:rPr>
              <w:b/>
              <w:bCs/>
              <w:sz w:val="20"/>
              <w:vertAlign w:val="superscript"/>
            </w:rPr>
            <w:t>nd</w:t>
          </w:r>
          <w:r w:rsidRPr="003E2D96">
            <w:rPr>
              <w:b/>
              <w:bCs/>
              <w:sz w:val="20"/>
            </w:rPr>
            <w:t xml:space="preserve"> </w:t>
          </w:r>
          <w:r>
            <w:rPr>
              <w:b/>
              <w:bCs/>
              <w:sz w:val="20"/>
            </w:rPr>
            <w:t>September 2021</w:t>
          </w:r>
          <w:r w:rsidR="009A57FA" w:rsidRPr="00E54716">
            <w:rPr>
              <w:b/>
              <w:bCs/>
              <w:sz w:val="20"/>
            </w:rPr>
            <w:t xml:space="preserve">, </w:t>
          </w:r>
          <w:r w:rsidR="003E2D96">
            <w:rPr>
              <w:b/>
              <w:bCs/>
              <w:sz w:val="20"/>
            </w:rPr>
            <w:t xml:space="preserve">University of </w:t>
          </w:r>
          <w:r w:rsidR="009A57FA" w:rsidRPr="00E54716">
            <w:rPr>
              <w:b/>
              <w:bCs/>
              <w:sz w:val="20"/>
            </w:rPr>
            <w:t>Exeter, United Kingdom</w:t>
          </w:r>
        </w:p>
        <w:p w14:paraId="21311BF1" w14:textId="77777777" w:rsidR="007B28F2" w:rsidRDefault="007B28F2" w:rsidP="007B28F2">
          <w:pPr>
            <w:spacing w:before="20" w:after="20"/>
            <w:jc w:val="right"/>
            <w:rPr>
              <w:b/>
              <w:bCs/>
              <w:sz w:val="20"/>
            </w:rPr>
          </w:pPr>
        </w:p>
        <w:p w14:paraId="6E2163A0" w14:textId="77777777" w:rsidR="00847A4E" w:rsidRPr="00847A4E" w:rsidRDefault="00847A4E" w:rsidP="007B28F2">
          <w:pPr>
            <w:jc w:val="right"/>
            <w:rPr>
              <w:b/>
              <w:bCs/>
              <w:sz w:val="2"/>
              <w:szCs w:val="6"/>
            </w:rPr>
          </w:pPr>
        </w:p>
      </w:tc>
    </w:tr>
  </w:tbl>
  <w:p w14:paraId="5333D3E4" w14:textId="77777777" w:rsidR="003E2D96" w:rsidRPr="007B28F2" w:rsidRDefault="003E2D96" w:rsidP="009A57FA">
    <w:pPr>
      <w:pStyle w:val="Header"/>
      <w:rPr>
        <w:sz w:val="4"/>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0D"/>
    <w:rsid w:val="00065A38"/>
    <w:rsid w:val="000B5176"/>
    <w:rsid w:val="000D4775"/>
    <w:rsid w:val="001144CD"/>
    <w:rsid w:val="001625F7"/>
    <w:rsid w:val="001A1104"/>
    <w:rsid w:val="001F15A4"/>
    <w:rsid w:val="001F7341"/>
    <w:rsid w:val="00226E24"/>
    <w:rsid w:val="002652DD"/>
    <w:rsid w:val="0027408D"/>
    <w:rsid w:val="00295B4E"/>
    <w:rsid w:val="002D39D7"/>
    <w:rsid w:val="002D5DD0"/>
    <w:rsid w:val="003312B5"/>
    <w:rsid w:val="003336A5"/>
    <w:rsid w:val="003526C3"/>
    <w:rsid w:val="003637B8"/>
    <w:rsid w:val="003710A0"/>
    <w:rsid w:val="003E1E59"/>
    <w:rsid w:val="003E2D96"/>
    <w:rsid w:val="003F39B2"/>
    <w:rsid w:val="00432B33"/>
    <w:rsid w:val="00456F98"/>
    <w:rsid w:val="00466D2F"/>
    <w:rsid w:val="00487216"/>
    <w:rsid w:val="004C17EA"/>
    <w:rsid w:val="004E244A"/>
    <w:rsid w:val="004E5483"/>
    <w:rsid w:val="005045C2"/>
    <w:rsid w:val="00545CFA"/>
    <w:rsid w:val="00563F2A"/>
    <w:rsid w:val="005A7A47"/>
    <w:rsid w:val="005D5E4A"/>
    <w:rsid w:val="005F1C23"/>
    <w:rsid w:val="0069299C"/>
    <w:rsid w:val="006A6FAC"/>
    <w:rsid w:val="006F1FF7"/>
    <w:rsid w:val="0071744F"/>
    <w:rsid w:val="00727E39"/>
    <w:rsid w:val="007524B3"/>
    <w:rsid w:val="00755DF8"/>
    <w:rsid w:val="007A2C0F"/>
    <w:rsid w:val="007B28F2"/>
    <w:rsid w:val="00815232"/>
    <w:rsid w:val="00847A4E"/>
    <w:rsid w:val="00885F07"/>
    <w:rsid w:val="008913D5"/>
    <w:rsid w:val="008A5B15"/>
    <w:rsid w:val="008D5797"/>
    <w:rsid w:val="00905A69"/>
    <w:rsid w:val="00957F25"/>
    <w:rsid w:val="00965300"/>
    <w:rsid w:val="0097048F"/>
    <w:rsid w:val="009A57FA"/>
    <w:rsid w:val="009B2BB3"/>
    <w:rsid w:val="009B6A5B"/>
    <w:rsid w:val="009C3068"/>
    <w:rsid w:val="009E5789"/>
    <w:rsid w:val="00A316F0"/>
    <w:rsid w:val="00A57A14"/>
    <w:rsid w:val="00AD4BFB"/>
    <w:rsid w:val="00AE35A5"/>
    <w:rsid w:val="00B112D8"/>
    <w:rsid w:val="00B556E6"/>
    <w:rsid w:val="00B75688"/>
    <w:rsid w:val="00B929ED"/>
    <w:rsid w:val="00BA42BD"/>
    <w:rsid w:val="00BB1DDF"/>
    <w:rsid w:val="00BF3D53"/>
    <w:rsid w:val="00C03F79"/>
    <w:rsid w:val="00C2318D"/>
    <w:rsid w:val="00C2471B"/>
    <w:rsid w:val="00C674FF"/>
    <w:rsid w:val="00C77D3E"/>
    <w:rsid w:val="00CD262E"/>
    <w:rsid w:val="00CE17F2"/>
    <w:rsid w:val="00D02C00"/>
    <w:rsid w:val="00D313A1"/>
    <w:rsid w:val="00D50FB8"/>
    <w:rsid w:val="00D55B85"/>
    <w:rsid w:val="00D62DCF"/>
    <w:rsid w:val="00D6709D"/>
    <w:rsid w:val="00D71544"/>
    <w:rsid w:val="00DB12E0"/>
    <w:rsid w:val="00DD3EF3"/>
    <w:rsid w:val="00E01DE1"/>
    <w:rsid w:val="00E1230D"/>
    <w:rsid w:val="00E54716"/>
    <w:rsid w:val="00E6454A"/>
    <w:rsid w:val="00EA7843"/>
    <w:rsid w:val="00EC6BBD"/>
    <w:rsid w:val="00ED0811"/>
    <w:rsid w:val="00F011B6"/>
    <w:rsid w:val="00FB3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BA1307"/>
  <w15:chartTrackingRefBased/>
  <w15:docId w15:val="{33727322-F4A5-4986-8B3D-57472FA6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1" w:defUIPriority="99" w:defSemiHidden="0" w:defUnhideWhenUsed="0" w:defQFormat="0" w:count="376">
    <w:lsdException w:name="Normal" w:locked="0"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EC6BBD"/>
    <w:pPr>
      <w:suppressAutoHyphens/>
    </w:pPr>
    <w:rPr>
      <w:rFonts w:eastAsia="Noto Sans CJK SC Regular" w:cs="FreeSans"/>
      <w:kern w:val="1"/>
      <w:sz w:val="24"/>
      <w:szCs w:val="24"/>
      <w:lang w:bidi="hi-IN"/>
    </w:rPr>
  </w:style>
  <w:style w:type="paragraph" w:styleId="Heading1">
    <w:name w:val="heading 1"/>
    <w:basedOn w:val="Normal"/>
    <w:next w:val="Normal"/>
    <w:locked/>
    <w:rsid w:val="003F39B2"/>
    <w:pPr>
      <w:spacing w:after="120"/>
      <w:jc w:val="center"/>
      <w:outlineLvl w:val="0"/>
    </w:pPr>
    <w:rPr>
      <w:b/>
      <w:bCs/>
      <w:caps/>
      <w:kern w:val="28"/>
      <w:sz w:val="28"/>
      <w:szCs w:val="28"/>
    </w:rPr>
  </w:style>
  <w:style w:type="paragraph" w:styleId="Heading2">
    <w:name w:val="heading 2"/>
    <w:basedOn w:val="Heading"/>
    <w:next w:val="Normal"/>
    <w:locked/>
    <w:pPr>
      <w:spacing w:before="20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ing1"/>
    <w:next w:val="Normal"/>
    <w:qFormat/>
    <w:rsid w:val="00D313A1"/>
    <w:rPr>
      <w:sz w:val="24"/>
    </w:rPr>
  </w:style>
  <w:style w:type="paragraph" w:styleId="Caption">
    <w:name w:val="caption"/>
    <w:basedOn w:val="Normal"/>
    <w:qFormat/>
    <w:rsid w:val="00D313A1"/>
    <w:pPr>
      <w:jc w:val="center"/>
    </w:pPr>
    <w:rPr>
      <w:i/>
      <w:iCs/>
      <w:sz w:val="20"/>
    </w:rPr>
  </w:style>
  <w:style w:type="paragraph" w:customStyle="1" w:styleId="Authors">
    <w:name w:val="Authors"/>
    <w:basedOn w:val="Normal"/>
    <w:qFormat/>
    <w:rsid w:val="00D313A1"/>
    <w:pPr>
      <w:jc w:val="center"/>
    </w:pPr>
    <w:rPr>
      <w:b/>
      <w:bCs/>
      <w:sz w:val="20"/>
    </w:rPr>
  </w:style>
  <w:style w:type="paragraph" w:customStyle="1" w:styleId="Affiliations">
    <w:name w:val="Affiliations"/>
    <w:basedOn w:val="Normal"/>
    <w:qFormat/>
    <w:rsid w:val="00D313A1"/>
    <w:pPr>
      <w:jc w:val="center"/>
    </w:pPr>
    <w:rPr>
      <w:sz w:val="20"/>
    </w:rPr>
  </w:style>
  <w:style w:type="paragraph" w:customStyle="1" w:styleId="Email">
    <w:name w:val="Email"/>
    <w:basedOn w:val="Normal"/>
    <w:rsid w:val="008D5797"/>
    <w:pPr>
      <w:spacing w:after="240"/>
      <w:jc w:val="center"/>
    </w:pPr>
    <w:rPr>
      <w:i/>
      <w:iCs/>
      <w:sz w:val="20"/>
    </w:rPr>
  </w:style>
  <w:style w:type="paragraph" w:customStyle="1" w:styleId="ExtendedAbstract">
    <w:name w:val="ExtendedAbstract"/>
    <w:basedOn w:val="Normal"/>
    <w:qFormat/>
    <w:rsid w:val="00D313A1"/>
    <w:pPr>
      <w:spacing w:after="120"/>
      <w:jc w:val="both"/>
    </w:pPr>
    <w:rPr>
      <w:iCs/>
      <w:sz w:val="20"/>
    </w:rPr>
  </w:style>
  <w:style w:type="paragraph" w:customStyle="1" w:styleId="SubHeading">
    <w:name w:val="SubHeading"/>
    <w:qFormat/>
    <w:rsid w:val="005D5E4A"/>
    <w:pPr>
      <w:keepNext/>
      <w:suppressAutoHyphens/>
      <w:spacing w:after="120"/>
    </w:pPr>
    <w:rPr>
      <w:rFonts w:eastAsia="Noto Sans CJK SC Regular" w:cs="FreeSans"/>
      <w:b/>
      <w:bCs/>
      <w:kern w:val="1"/>
      <w:szCs w:val="28"/>
      <w:lang w:bidi="hi-IN"/>
    </w:rPr>
  </w:style>
  <w:style w:type="paragraph" w:customStyle="1" w:styleId="References">
    <w:name w:val="References"/>
    <w:basedOn w:val="Normal"/>
    <w:qFormat/>
    <w:rsid w:val="00D313A1"/>
    <w:pPr>
      <w:ind w:left="737" w:hanging="737"/>
    </w:pPr>
    <w:rPr>
      <w:sz w:val="20"/>
    </w:rPr>
  </w:style>
  <w:style w:type="paragraph" w:styleId="Header">
    <w:name w:val="header"/>
    <w:basedOn w:val="Normal"/>
    <w:pPr>
      <w:suppressLineNumbers/>
      <w:tabs>
        <w:tab w:val="center" w:pos="4252"/>
        <w:tab w:val="right" w:pos="8504"/>
      </w:tabs>
    </w:pPr>
  </w:style>
  <w:style w:type="paragraph" w:styleId="Footer">
    <w:name w:val="footer"/>
    <w:basedOn w:val="Normal"/>
    <w:link w:val="FooterChar"/>
    <w:uiPriority w:val="99"/>
    <w:unhideWhenUsed/>
    <w:locked/>
    <w:rsid w:val="009A57FA"/>
    <w:pPr>
      <w:tabs>
        <w:tab w:val="center" w:pos="4513"/>
        <w:tab w:val="right" w:pos="9026"/>
      </w:tabs>
    </w:pPr>
    <w:rPr>
      <w:rFonts w:cs="Mangal"/>
      <w:szCs w:val="21"/>
    </w:rPr>
  </w:style>
  <w:style w:type="character" w:customStyle="1" w:styleId="FooterChar">
    <w:name w:val="Footer Char"/>
    <w:link w:val="Footer"/>
    <w:uiPriority w:val="99"/>
    <w:rsid w:val="009A57FA"/>
    <w:rPr>
      <w:rFonts w:eastAsia="Noto Sans CJK SC Regular" w:cs="Mangal"/>
      <w:kern w:val="1"/>
      <w:sz w:val="24"/>
      <w:szCs w:val="21"/>
      <w:lang w:eastAsia="zh-CN" w:bidi="hi-IN"/>
    </w:rPr>
  </w:style>
  <w:style w:type="table" w:styleId="TableGrid">
    <w:name w:val="Table Grid"/>
    <w:basedOn w:val="TableNormal"/>
    <w:uiPriority w:val="59"/>
    <w:locked/>
    <w:rsid w:val="009A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6BBD"/>
    <w:pPr>
      <w:spacing w:after="240"/>
      <w:jc w:val="center"/>
    </w:pPr>
    <w:rPr>
      <w:b/>
      <w:bCs/>
      <w:sz w:val="32"/>
      <w:szCs w:val="32"/>
    </w:rPr>
  </w:style>
  <w:style w:type="character" w:customStyle="1" w:styleId="TitleChar">
    <w:name w:val="Title Char"/>
    <w:link w:val="Title"/>
    <w:uiPriority w:val="10"/>
    <w:rsid w:val="00815232"/>
    <w:rPr>
      <w:rFonts w:eastAsia="Noto Sans CJK SC Regular" w:cs="FreeSans"/>
      <w:b/>
      <w:bCs/>
      <w:kern w:val="1"/>
      <w:sz w:val="32"/>
      <w:szCs w:val="32"/>
      <w:lang w:eastAsia="zh-CN" w:bidi="hi-IN"/>
    </w:rPr>
  </w:style>
  <w:style w:type="paragraph" w:customStyle="1" w:styleId="Keywords">
    <w:name w:val="Keywords"/>
    <w:basedOn w:val="Normal"/>
    <w:qFormat/>
    <w:rsid w:val="008D5797"/>
    <w:pPr>
      <w:spacing w:after="240"/>
    </w:pPr>
    <w:rPr>
      <w:sz w:val="20"/>
    </w:rPr>
  </w:style>
  <w:style w:type="character" w:styleId="CommentReference">
    <w:name w:val="annotation reference"/>
    <w:uiPriority w:val="99"/>
    <w:semiHidden/>
    <w:unhideWhenUsed/>
    <w:locked/>
    <w:rsid w:val="007524B3"/>
    <w:rPr>
      <w:sz w:val="16"/>
      <w:szCs w:val="16"/>
    </w:rPr>
  </w:style>
  <w:style w:type="paragraph" w:styleId="CommentText">
    <w:name w:val="annotation text"/>
    <w:basedOn w:val="Normal"/>
    <w:link w:val="CommentTextChar"/>
    <w:uiPriority w:val="99"/>
    <w:semiHidden/>
    <w:unhideWhenUsed/>
    <w:locked/>
    <w:rsid w:val="007524B3"/>
    <w:rPr>
      <w:rFonts w:cs="Mangal"/>
      <w:sz w:val="20"/>
      <w:szCs w:val="18"/>
    </w:rPr>
  </w:style>
  <w:style w:type="character" w:customStyle="1" w:styleId="CommentTextChar">
    <w:name w:val="Comment Text Char"/>
    <w:link w:val="CommentText"/>
    <w:uiPriority w:val="99"/>
    <w:semiHidden/>
    <w:rsid w:val="007524B3"/>
    <w:rPr>
      <w:rFonts w:eastAsia="Noto Sans CJK SC Regular" w:cs="Mangal"/>
      <w:kern w:val="1"/>
      <w:szCs w:val="18"/>
      <w:lang w:eastAsia="zh-CN" w:bidi="hi-IN"/>
    </w:rPr>
  </w:style>
  <w:style w:type="paragraph" w:styleId="CommentSubject">
    <w:name w:val="annotation subject"/>
    <w:basedOn w:val="CommentText"/>
    <w:next w:val="CommentText"/>
    <w:link w:val="CommentSubjectChar"/>
    <w:uiPriority w:val="99"/>
    <w:semiHidden/>
    <w:unhideWhenUsed/>
    <w:locked/>
    <w:rsid w:val="007524B3"/>
    <w:rPr>
      <w:b/>
      <w:bCs/>
    </w:rPr>
  </w:style>
  <w:style w:type="character" w:customStyle="1" w:styleId="CommentSubjectChar">
    <w:name w:val="Comment Subject Char"/>
    <w:link w:val="CommentSubject"/>
    <w:uiPriority w:val="99"/>
    <w:semiHidden/>
    <w:rsid w:val="007524B3"/>
    <w:rPr>
      <w:rFonts w:eastAsia="Noto Sans CJK SC Regular" w:cs="Mangal"/>
      <w:b/>
      <w:bCs/>
      <w:kern w:val="1"/>
      <w:szCs w:val="18"/>
      <w:lang w:eastAsia="zh-CN" w:bidi="hi-IN"/>
    </w:rPr>
  </w:style>
  <w:style w:type="paragraph" w:styleId="BalloonText">
    <w:name w:val="Balloon Text"/>
    <w:basedOn w:val="Normal"/>
    <w:link w:val="BalloonTextChar"/>
    <w:uiPriority w:val="99"/>
    <w:semiHidden/>
    <w:unhideWhenUsed/>
    <w:locked/>
    <w:rsid w:val="007524B3"/>
    <w:rPr>
      <w:rFonts w:ascii="Arial" w:hAnsi="Arial" w:cs="Mangal"/>
      <w:sz w:val="18"/>
      <w:szCs w:val="16"/>
    </w:rPr>
  </w:style>
  <w:style w:type="character" w:customStyle="1" w:styleId="BalloonTextChar">
    <w:name w:val="Balloon Text Char"/>
    <w:link w:val="BalloonText"/>
    <w:uiPriority w:val="99"/>
    <w:semiHidden/>
    <w:rsid w:val="007524B3"/>
    <w:rPr>
      <w:rFonts w:ascii="Arial" w:eastAsia="Noto Sans CJK SC Regular" w:hAnsi="Arial" w:cs="Mangal"/>
      <w:kern w:val="1"/>
      <w:sz w:val="18"/>
      <w:szCs w:val="16"/>
      <w:lang w:eastAsia="zh-CN" w:bidi="hi-IN"/>
    </w:rPr>
  </w:style>
  <w:style w:type="paragraph" w:styleId="EndnoteText">
    <w:name w:val="endnote text"/>
    <w:basedOn w:val="Normal"/>
    <w:link w:val="EndnoteTextChar"/>
    <w:uiPriority w:val="99"/>
    <w:semiHidden/>
    <w:unhideWhenUsed/>
    <w:locked/>
    <w:rsid w:val="005A7A47"/>
    <w:rPr>
      <w:rFonts w:cs="Mangal"/>
      <w:sz w:val="20"/>
      <w:szCs w:val="18"/>
    </w:rPr>
  </w:style>
  <w:style w:type="character" w:customStyle="1" w:styleId="EndnoteTextChar">
    <w:name w:val="Endnote Text Char"/>
    <w:basedOn w:val="DefaultParagraphFont"/>
    <w:link w:val="EndnoteText"/>
    <w:uiPriority w:val="99"/>
    <w:semiHidden/>
    <w:rsid w:val="005A7A47"/>
    <w:rPr>
      <w:rFonts w:eastAsia="Noto Sans CJK SC Regular" w:cs="Mangal"/>
      <w:kern w:val="1"/>
      <w:szCs w:val="18"/>
      <w:lang w:bidi="hi-IN"/>
    </w:rPr>
  </w:style>
  <w:style w:type="character" w:styleId="EndnoteReference">
    <w:name w:val="endnote reference"/>
    <w:basedOn w:val="DefaultParagraphFont"/>
    <w:uiPriority w:val="99"/>
    <w:semiHidden/>
    <w:unhideWhenUsed/>
    <w:locked/>
    <w:rsid w:val="005A7A47"/>
    <w:rPr>
      <w:vertAlign w:val="superscript"/>
    </w:rPr>
  </w:style>
  <w:style w:type="character" w:styleId="Hyperlink">
    <w:name w:val="Hyperlink"/>
    <w:basedOn w:val="DefaultParagraphFont"/>
    <w:uiPriority w:val="99"/>
    <w:unhideWhenUsed/>
    <w:locked/>
    <w:rsid w:val="006A6FAC"/>
    <w:rPr>
      <w:color w:val="0563C1" w:themeColor="hyperlink"/>
      <w:u w:val="single"/>
    </w:rPr>
  </w:style>
  <w:style w:type="paragraph" w:styleId="Bibliography">
    <w:name w:val="Bibliography"/>
    <w:basedOn w:val="Normal"/>
    <w:next w:val="Normal"/>
    <w:uiPriority w:val="37"/>
    <w:unhideWhenUsed/>
    <w:locked/>
    <w:rsid w:val="00F011B6"/>
    <w:pPr>
      <w:tabs>
        <w:tab w:val="left" w:pos="384"/>
      </w:tabs>
      <w:ind w:left="384" w:hanging="384"/>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qua360.net/abstract-sub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Links>
    <vt:vector size="6" baseType="variant">
      <vt:variant>
        <vt:i4>4718674</vt:i4>
      </vt:variant>
      <vt:variant>
        <vt:i4>0</vt:i4>
      </vt:variant>
      <vt:variant>
        <vt:i4>0</vt:i4>
      </vt:variant>
      <vt:variant>
        <vt:i4>5</vt:i4>
      </vt:variant>
      <vt:variant>
        <vt:lpwstr>https://www.ccwi-2019.com/abstract-submission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dc:creator>
  <cp:keywords/>
  <cp:lastModifiedBy>Sadr, Seyed Mohammad Kazem</cp:lastModifiedBy>
  <cp:revision>4</cp:revision>
  <cp:lastPrinted>1901-01-01T00:00:00Z</cp:lastPrinted>
  <dcterms:created xsi:type="dcterms:W3CDTF">2021-03-04T10:03:00Z</dcterms:created>
  <dcterms:modified xsi:type="dcterms:W3CDTF">2021-03-09T13:33:00Z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id="huWjdsfh"/&gt;&lt;style id="http://www.zotero.org/styles/ieee" locale="en-GB"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